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1E" w:rsidRPr="0056281E" w:rsidRDefault="006D3F1E" w:rsidP="0056281E">
      <w:pPr>
        <w:keepNext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outlineLvl w:val="3"/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</w:t>
      </w:r>
      <w:r w:rsidR="0056281E">
        <w:rPr>
          <w:rFonts w:ascii="Times New Roman" w:eastAsia="Times New Roman" w:hAnsi="Times New Roman" w:cs="Times New Roman"/>
          <w:noProof/>
          <w:position w:val="40"/>
          <w:sz w:val="19"/>
          <w:szCs w:val="20"/>
          <w:lang w:eastAsia="ru-RU"/>
        </w:rPr>
        <w:drawing>
          <wp:inline distT="0" distB="0" distL="0" distR="0">
            <wp:extent cx="405765" cy="485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1E" w:rsidRPr="0056281E" w:rsidRDefault="0056281E" w:rsidP="0056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56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56281E" w:rsidRPr="0056281E" w:rsidRDefault="0056281E" w:rsidP="0056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56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56281E" w:rsidRPr="0056281E" w:rsidRDefault="0056281E" w:rsidP="0056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НАРОДНЫХ ДЕПУТАТОВ </w:t>
      </w:r>
    </w:p>
    <w:p w:rsidR="0056281E" w:rsidRPr="0056281E" w:rsidRDefault="0056281E" w:rsidP="0056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56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СТАРОДУБСКОГО МУНИЦИПАЛЬНОГО ОКРУГА</w:t>
      </w:r>
    </w:p>
    <w:p w:rsidR="0056281E" w:rsidRPr="0056281E" w:rsidRDefault="0056281E" w:rsidP="0056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</w:p>
    <w:p w:rsidR="0056281E" w:rsidRPr="0056281E" w:rsidRDefault="0056281E" w:rsidP="0056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56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56281E" w:rsidRPr="0056281E" w:rsidRDefault="0056281E" w:rsidP="0056281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10CBF" w:rsidRDefault="006926BE" w:rsidP="00010CB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6281E" w:rsidRPr="00562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AA40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79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29.04.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2026 </w:t>
      </w:r>
      <w:r w:rsidR="0056281E" w:rsidRPr="00562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№ </w:t>
      </w:r>
      <w:r w:rsidR="00D179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4E6A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bookmarkStart w:id="0" w:name="_GoBack"/>
      <w:bookmarkEnd w:id="0"/>
    </w:p>
    <w:p w:rsidR="0056281E" w:rsidRPr="0056281E" w:rsidRDefault="0056281E" w:rsidP="00010CB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1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Стародуб</w:t>
      </w:r>
    </w:p>
    <w:p w:rsidR="0056281E" w:rsidRPr="0056281E" w:rsidRDefault="0056281E" w:rsidP="0056281E">
      <w:pPr>
        <w:widowControl w:val="0"/>
        <w:shd w:val="clear" w:color="auto" w:fill="FFFFFF"/>
        <w:tabs>
          <w:tab w:val="left" w:pos="5245"/>
          <w:tab w:val="left" w:pos="5387"/>
        </w:tabs>
        <w:autoSpaceDE w:val="0"/>
        <w:autoSpaceDN w:val="0"/>
        <w:adjustRightInd w:val="0"/>
        <w:spacing w:after="0" w:line="27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1E" w:rsidRDefault="006926BE" w:rsidP="006926BE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внесении  изменений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правила землепользования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</w:t>
      </w:r>
      <w:proofErr w:type="gramStart"/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застройки</w:t>
      </w:r>
      <w:proofErr w:type="gramEnd"/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утвержденные решением Совета народных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депутатов Стародубского муниципального округа от 29.08.2022 г.№ 261(с изменениями от 23.12.2022 г. № 296, от 29.02.2024 № 407,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25.10.2024 № 471, от 27.05.2025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</w:t>
      </w: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 543</w:t>
      </w:r>
      <w:r w:rsidR="001017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</w:t>
      </w:r>
      <w:r w:rsidRPr="006926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19.12.2025г. № 43</w:t>
      </w:r>
      <w:r w:rsidR="001017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</w:p>
    <w:p w:rsidR="006926BE" w:rsidRPr="0056281E" w:rsidRDefault="006926BE" w:rsidP="006926BE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1E" w:rsidRPr="0056281E" w:rsidRDefault="000D371B" w:rsidP="000D37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24, ст. 31 Градостроительного кодекса Российской Федерации, Федерального закона от 06.10.2003  №131-ФЗ "Об общих принципах организации местного самоуправления в Российской Федерации", в соответствии с Уставом Стародубского муниципального округа, </w:t>
      </w:r>
      <w:r w:rsidR="001D74AD" w:rsidRPr="001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ст. 11.3 Земельного кодекса Российской Федерации</w:t>
      </w:r>
      <w:r w:rsidR="001D7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4AD" w:rsidRPr="001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AE36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Брянской области от </w:t>
      </w:r>
      <w:r w:rsidR="001D74AD" w:rsidRPr="001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марта 2026 г. № 84-п</w:t>
      </w:r>
      <w:r w:rsidR="00AC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</w:t>
      </w:r>
      <w:proofErr w:type="gramEnd"/>
      <w:r w:rsidR="00AC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5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Брянской области от 23 мая 2022 г. № 206-п</w:t>
      </w:r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реализации положения пункта 2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ст.7 Федерального закона от</w:t>
      </w:r>
      <w:r w:rsidR="00D6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6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2022 года № 58-ФЗ «О внесении изменений в отдельные законодательные акты Российской Федерации», в целях определения назначения территории Стародубского муниципального округа,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</w:t>
      </w:r>
      <w:proofErr w:type="gramEnd"/>
      <w:r w:rsidR="00680087" w:rsidRPr="0068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инфраструктур, обеспечения учета интересов граждан и их объединений, рационального и эффективного использования земельных участков</w:t>
      </w:r>
      <w:r w:rsidR="0040558F" w:rsidRPr="004055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81E" w:rsidRPr="0056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народных депутатов Стародубского муниципального округа Брянской области </w:t>
      </w:r>
      <w:r w:rsidR="0056281E" w:rsidRPr="0056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56281E" w:rsidRPr="0056281E" w:rsidRDefault="0056281E" w:rsidP="0056281E">
      <w:pPr>
        <w:widowControl w:val="0"/>
        <w:shd w:val="clear" w:color="auto" w:fill="FFFFFF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AAB" w:rsidRDefault="00D620E3" w:rsidP="000D371B">
      <w:pPr>
        <w:tabs>
          <w:tab w:val="left" w:pos="284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Стародубского муниципального округа Брянской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5C54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народных депутатов Стародубского муниципального округа  от 29.08.2022 г. № 26</w:t>
      </w:r>
      <w:r w:rsid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26BE"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29.08.2022 г.№ 261</w:t>
      </w:r>
      <w:r w:rsidR="0046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6BE"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23.12.2022 г. № 296, от </w:t>
      </w:r>
      <w:r w:rsidR="006926BE"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29.02.2024 № 407, от 25.10.2024 № 471, от 27.05.2025  № 543</w:t>
      </w:r>
      <w:r w:rsidR="001017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26BE"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19.12.2025г. № 43</w:t>
      </w:r>
      <w:r w:rsidR="00256AAB" w:rsidRPr="00256A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атью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радостроительная подготовка земельных участков в целях предоставления заинтересованным лицам для строительства, изложить в новой редакции:</w:t>
      </w:r>
    </w:p>
    <w:p w:rsidR="006926BE" w:rsidRPr="006926BE" w:rsidRDefault="00C207EC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26BE"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Градостроительная подготовка земельных участков в целях предоставления заинтересованным лицам для строительства регулируются земельным законодательством и Градостроительным кодексом.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Земельные участки, предоставляемые заинтересованным лицам для строительства, должны быть образованы как объекты недвижимости, то </w:t>
      </w:r>
      <w:proofErr w:type="gramStart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осуществлена их градостроительная подготовка. Не допускается предоставлять земельные участки для любого строительства без их градостроительной подготовки.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Образование земельных участков из земель или земельных участков, находящихся в муниципальной собственности, осуществляется в соответствии с одним из следующих документов: 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 межевания территории, утвержденный в соответствии с Градостроительным кодексом Российской Федерации;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проектная документация лесных участков;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утвержденная схема расположения земельного участка или земельных участков на кадастровом плане территории, которая предусмотрена статьей 11.10 Земельного кодекса Российской Федерации.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Образование земельных участков из земель или земельных участков, находящихся в государственной или муниципальной собственности,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положений, предусмотренных пунктом 4 настоящей статьи, за исключением случаев, установленных федеральными законами.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Образование лесных участков осуществляется в соответствии с проектной документацией лесных участков, за исключением случаев образования лесных участков в целях строительства, реконструкции линейных объектов, для осуществления которых требуется подготовка документации по планировке территории. В указанных случаях образование лесных участков осуществляется на основании утвержденного проекта межевания территории.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Исключительно в соответствии с утвержденным проектом межевания территории осуществляется образование земельных участков: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 земельного участка, предоставленного садоводческому или огородническому некоммерческому товариществу;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границах элемента планировочной структуры, застроенного многоквартирными домами, за исключением образования земельного участка для целей, предусмотренных статьей 13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статьей 3 Федерального 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 от 24 июля 2008 года N 161-ФЗ</w:t>
      </w:r>
      <w:proofErr w:type="gramEnd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gramStart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содействии развитию жилищного строительства, созданию объектов туристской инфраструктуры и иному развитию территорий", образования земельного участка для размещения объектов федерального значения, объектов регионального значения, объектов местного значения, не являющихся линейными объектами, образования земельного участка, на котором расположены многоквартирный дом и иные входящие в состав такого дома объекты недвижимого имущества, а также образования земельного участка в целях его предоставления собственникам расположенных</w:t>
      </w:r>
      <w:proofErr w:type="gramEnd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нем зданий, сооружений;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строительства, реконструкции линейных объектов федерального, регионального или местного значения, за исключением линейных объектов, для строительства, реконструкции которых не требуется подготовка документации по планировке территории;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из земельного участка,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из земельного участка, предоставленного для размещения гаражей в границах территории гаражного назначения.</w:t>
      </w:r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образование иных земельных участков из земельного участка,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здания, сооружения, за исключением случаев, если такое образование осуществляется в связи с изъятием земельных участков для государственных или муниципальных нужд.</w:t>
      </w:r>
      <w:proofErr w:type="gramEnd"/>
    </w:p>
    <w:p w:rsidR="006926BE" w:rsidRPr="006926BE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Образование земельного участка обеспечивается заинтересованным в предоставлении земельного участка лицом либо Администрацией Стародубского муниципального округа Брянской области в соответствии с требованиями Земельного кодекса РФ.</w:t>
      </w:r>
    </w:p>
    <w:p w:rsidR="00C207EC" w:rsidRDefault="006926BE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Земли и земельные участки, находящиеся в муниципальной собственности, могут использоваться без предоставления земельных участков и установления сервитута в порядке, установленном земельным законодательством</w:t>
      </w:r>
      <w:r w:rsidR="00C20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2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31063" w:rsidRDefault="00101763" w:rsidP="006926BE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1063" w:rsidRPr="00AE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AE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опубликовать </w:t>
      </w:r>
      <w:r w:rsidR="00E31063" w:rsidRPr="00AE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E31063" w:rsidRPr="00AE5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Стародубского муниципального округа в сети Интернет</w:t>
      </w:r>
      <w:r w:rsidR="00E3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</w:t>
      </w:r>
      <w:r w:rsidR="0069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http://www. adminstarrayon.ru</w:t>
      </w:r>
      <w:r w:rsidR="00E31063" w:rsidRPr="00AE5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281E" w:rsidRPr="0056281E" w:rsidRDefault="00256AAB" w:rsidP="005C7A83">
      <w:p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D620E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0D37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101763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56281E" w:rsidRPr="0056281E">
        <w:rPr>
          <w:rFonts w:ascii="Times New Roman" w:eastAsia="Times New Roman" w:hAnsi="Times New Roman" w:cs="Times New Roman"/>
          <w:sz w:val="28"/>
          <w:szCs w:val="20"/>
          <w:lang w:eastAsia="ar-SA"/>
        </w:rPr>
        <w:t>. Настоящее решение вступает в силу с момента его официального опубликования.</w:t>
      </w:r>
      <w:r w:rsidR="0056281E" w:rsidRPr="0056281E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</w:p>
    <w:p w:rsidR="00680087" w:rsidRDefault="00680087" w:rsidP="00C97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2A0" w:rsidRPr="00B732A0" w:rsidRDefault="00B732A0" w:rsidP="00B73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Стародубского </w:t>
      </w:r>
    </w:p>
    <w:p w:rsidR="00B732A0" w:rsidRPr="00B732A0" w:rsidRDefault="00B732A0" w:rsidP="00B73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C17C21" w:rsidRPr="00691C04" w:rsidRDefault="00B732A0" w:rsidP="00B73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                                                                             </w:t>
      </w:r>
      <w:proofErr w:type="spellStart"/>
      <w:r w:rsidRPr="00B732A0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Н.Н.Тамилин</w:t>
      </w:r>
      <w:proofErr w:type="spellEnd"/>
    </w:p>
    <w:sectPr w:rsidR="00C17C21" w:rsidRPr="00691C04" w:rsidSect="00C207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A10"/>
    <w:rsid w:val="00010CBF"/>
    <w:rsid w:val="00052456"/>
    <w:rsid w:val="000D371B"/>
    <w:rsid w:val="00101763"/>
    <w:rsid w:val="00111D97"/>
    <w:rsid w:val="001C70F9"/>
    <w:rsid w:val="001D4EC5"/>
    <w:rsid w:val="001D74AD"/>
    <w:rsid w:val="00255808"/>
    <w:rsid w:val="00256AAB"/>
    <w:rsid w:val="002818C7"/>
    <w:rsid w:val="002D4C82"/>
    <w:rsid w:val="002E1BD5"/>
    <w:rsid w:val="00327521"/>
    <w:rsid w:val="003461AB"/>
    <w:rsid w:val="003903DC"/>
    <w:rsid w:val="00391DA0"/>
    <w:rsid w:val="0039637A"/>
    <w:rsid w:val="0040558F"/>
    <w:rsid w:val="00466837"/>
    <w:rsid w:val="00466F0F"/>
    <w:rsid w:val="00471E0A"/>
    <w:rsid w:val="00487563"/>
    <w:rsid w:val="004878AF"/>
    <w:rsid w:val="00491FA7"/>
    <w:rsid w:val="004E6AB5"/>
    <w:rsid w:val="005053C7"/>
    <w:rsid w:val="00510241"/>
    <w:rsid w:val="00514A10"/>
    <w:rsid w:val="00531D5D"/>
    <w:rsid w:val="0056281E"/>
    <w:rsid w:val="005C540E"/>
    <w:rsid w:val="005C7A83"/>
    <w:rsid w:val="005D5D2F"/>
    <w:rsid w:val="00673CE6"/>
    <w:rsid w:val="00680087"/>
    <w:rsid w:val="00691C04"/>
    <w:rsid w:val="006926BE"/>
    <w:rsid w:val="00693B17"/>
    <w:rsid w:val="006D3F1E"/>
    <w:rsid w:val="009269E9"/>
    <w:rsid w:val="009419A3"/>
    <w:rsid w:val="00944A4E"/>
    <w:rsid w:val="00956509"/>
    <w:rsid w:val="00980CCD"/>
    <w:rsid w:val="00A179EC"/>
    <w:rsid w:val="00A90CBA"/>
    <w:rsid w:val="00AA40AC"/>
    <w:rsid w:val="00AC556B"/>
    <w:rsid w:val="00AE3684"/>
    <w:rsid w:val="00B363EE"/>
    <w:rsid w:val="00B732A0"/>
    <w:rsid w:val="00B81630"/>
    <w:rsid w:val="00C17C21"/>
    <w:rsid w:val="00C207EC"/>
    <w:rsid w:val="00C33510"/>
    <w:rsid w:val="00C7036D"/>
    <w:rsid w:val="00C96A46"/>
    <w:rsid w:val="00C976E3"/>
    <w:rsid w:val="00D1794F"/>
    <w:rsid w:val="00D620E3"/>
    <w:rsid w:val="00E03151"/>
    <w:rsid w:val="00E2027A"/>
    <w:rsid w:val="00E22B9E"/>
    <w:rsid w:val="00E31063"/>
    <w:rsid w:val="00EE627D"/>
    <w:rsid w:val="00F35C36"/>
    <w:rsid w:val="00FD0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28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28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Work</cp:lastModifiedBy>
  <cp:revision>49</cp:revision>
  <cp:lastPrinted>2026-04-22T06:53:00Z</cp:lastPrinted>
  <dcterms:created xsi:type="dcterms:W3CDTF">2022-06-24T10:53:00Z</dcterms:created>
  <dcterms:modified xsi:type="dcterms:W3CDTF">2026-04-29T13:02:00Z</dcterms:modified>
</cp:coreProperties>
</file>