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0B" w:rsidRDefault="000A29B0">
      <w:pPr>
        <w:spacing w:before="73"/>
        <w:ind w:left="584" w:right="722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КОНТРОЛЬНО-СЧЁТНАЯ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ПАЛАТА </w:t>
      </w:r>
      <w:r w:rsidR="001D5AD1">
        <w:rPr>
          <w:b/>
          <w:sz w:val="32"/>
        </w:rPr>
        <w:t>СТАРОДУБСКОГО МУНИЦИПАЛЬНОГО ОКРУГА</w:t>
      </w: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spacing w:before="140"/>
        <w:rPr>
          <w:b/>
          <w:sz w:val="32"/>
        </w:rPr>
      </w:pPr>
    </w:p>
    <w:p w:rsidR="005F080B" w:rsidRDefault="000A29B0">
      <w:pPr>
        <w:ind w:left="584" w:right="726"/>
        <w:jc w:val="center"/>
        <w:rPr>
          <w:b/>
          <w:sz w:val="32"/>
        </w:rPr>
      </w:pPr>
      <w:r>
        <w:rPr>
          <w:b/>
          <w:spacing w:val="-2"/>
          <w:sz w:val="32"/>
        </w:rPr>
        <w:t>СТАНДАРТ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ОРГАНИЗАЦИИ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rPr>
          <w:b/>
          <w:sz w:val="32"/>
        </w:rPr>
      </w:pPr>
    </w:p>
    <w:p w:rsidR="005F080B" w:rsidRDefault="005F080B">
      <w:pPr>
        <w:pStyle w:val="a3"/>
        <w:spacing w:before="360"/>
        <w:rPr>
          <w:b/>
          <w:sz w:val="32"/>
        </w:rPr>
      </w:pPr>
    </w:p>
    <w:p w:rsidR="005F080B" w:rsidRDefault="000A29B0">
      <w:pPr>
        <w:spacing w:line="242" w:lineRule="auto"/>
        <w:ind w:left="494" w:right="635"/>
        <w:jc w:val="center"/>
        <w:rPr>
          <w:b/>
          <w:sz w:val="32"/>
        </w:rPr>
      </w:pPr>
      <w:r>
        <w:rPr>
          <w:b/>
          <w:sz w:val="32"/>
        </w:rPr>
        <w:t>СОД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6"/>
          <w:sz w:val="32"/>
        </w:rPr>
        <w:t xml:space="preserve"> </w:t>
      </w:r>
      <w:r>
        <w:rPr>
          <w:sz w:val="32"/>
        </w:rPr>
        <w:t>«</w:t>
      </w:r>
      <w:r>
        <w:rPr>
          <w:b/>
          <w:sz w:val="32"/>
        </w:rPr>
        <w:t>ПОРЯДОК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ПОДГОТОВКИ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ОТЧЁТА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РАБОТЕ КОНТРОЛЬНО-СЧЕТНОЙ ПАЛАТЫ </w:t>
      </w:r>
      <w:r w:rsidR="001D5AD1">
        <w:rPr>
          <w:b/>
          <w:sz w:val="32"/>
        </w:rPr>
        <w:t>СТАРОДУБСКОГО МУНИЦИПАЛЬТНОГО ОКРУГА</w:t>
      </w:r>
      <w:r>
        <w:rPr>
          <w:b/>
          <w:sz w:val="32"/>
        </w:rPr>
        <w:t>»</w:t>
      </w:r>
    </w:p>
    <w:p w:rsidR="001D5AD1" w:rsidRPr="001D5AD1" w:rsidRDefault="001D5AD1" w:rsidP="001D5AD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proofErr w:type="gramStart"/>
      <w:r w:rsidRPr="001D5AD1">
        <w:rPr>
          <w:sz w:val="28"/>
          <w:szCs w:val="28"/>
          <w:lang w:eastAsia="ru-RU"/>
        </w:rPr>
        <w:t>(утвержден приказом председателя Контрольно-счетной палаты</w:t>
      </w:r>
      <w:proofErr w:type="gramEnd"/>
    </w:p>
    <w:p w:rsidR="001D5AD1" w:rsidRPr="001D5AD1" w:rsidRDefault="001D5AD1" w:rsidP="001D5AD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proofErr w:type="gramStart"/>
      <w:r w:rsidRPr="001D5AD1">
        <w:rPr>
          <w:sz w:val="28"/>
          <w:szCs w:val="28"/>
          <w:lang w:eastAsia="ru-RU"/>
        </w:rPr>
        <w:t>Стародубского муниципального округа от 16.11.2020 г. № 3</w:t>
      </w:r>
      <w:r w:rsidR="00815B12">
        <w:rPr>
          <w:sz w:val="28"/>
          <w:szCs w:val="28"/>
          <w:lang w:eastAsia="ru-RU"/>
        </w:rPr>
        <w:t>, в редакции приказа от 27.12.2021г №26</w:t>
      </w:r>
      <w:r w:rsidRPr="001D5AD1">
        <w:rPr>
          <w:sz w:val="28"/>
          <w:szCs w:val="28"/>
          <w:lang w:eastAsia="ru-RU"/>
        </w:rPr>
        <w:t>)</w:t>
      </w:r>
      <w:proofErr w:type="gramEnd"/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rPr>
          <w:sz w:val="28"/>
        </w:rPr>
      </w:pPr>
    </w:p>
    <w:p w:rsidR="005F080B" w:rsidRDefault="005F080B">
      <w:pPr>
        <w:pStyle w:val="a3"/>
        <w:spacing w:before="50"/>
        <w:rPr>
          <w:sz w:val="28"/>
        </w:rPr>
      </w:pPr>
    </w:p>
    <w:p w:rsidR="005F080B" w:rsidRDefault="000A29B0">
      <w:pPr>
        <w:ind w:left="567"/>
        <w:jc w:val="center"/>
        <w:rPr>
          <w:b/>
          <w:sz w:val="24"/>
        </w:rPr>
      </w:pPr>
      <w:r>
        <w:rPr>
          <w:b/>
          <w:spacing w:val="-4"/>
          <w:sz w:val="24"/>
        </w:rPr>
        <w:t>20</w:t>
      </w:r>
      <w:r w:rsidR="001D5AD1">
        <w:rPr>
          <w:b/>
          <w:spacing w:val="-4"/>
          <w:sz w:val="24"/>
        </w:rPr>
        <w:t>20г</w:t>
      </w:r>
    </w:p>
    <w:p w:rsidR="005F080B" w:rsidRDefault="005F080B">
      <w:pPr>
        <w:jc w:val="center"/>
        <w:rPr>
          <w:b/>
          <w:sz w:val="24"/>
        </w:rPr>
        <w:sectPr w:rsidR="005F080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5F080B" w:rsidRDefault="000A29B0">
      <w:pPr>
        <w:spacing w:before="198"/>
        <w:ind w:left="56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1339691196"/>
        <w:docPartObj>
          <w:docPartGallery w:val="Table of Contents"/>
          <w:docPartUnique/>
        </w:docPartObj>
      </w:sdtPr>
      <w:sdtEndPr/>
      <w:sdtContent>
        <w:p w:rsidR="005F080B" w:rsidRDefault="004E4899">
          <w:pPr>
            <w:pStyle w:val="2"/>
            <w:numPr>
              <w:ilvl w:val="0"/>
              <w:numId w:val="3"/>
            </w:numPr>
            <w:tabs>
              <w:tab w:val="left" w:pos="781"/>
              <w:tab w:val="left" w:leader="dot" w:pos="8804"/>
            </w:tabs>
            <w:ind w:left="781"/>
            <w:jc w:val="left"/>
          </w:pPr>
          <w:hyperlink w:anchor="_TOC_250000" w:history="1">
            <w:r w:rsidR="000A29B0">
              <w:t>Общие</w:t>
            </w:r>
            <w:r w:rsidR="000A29B0">
              <w:rPr>
                <w:spacing w:val="-4"/>
              </w:rPr>
              <w:t xml:space="preserve"> </w:t>
            </w:r>
            <w:r w:rsidR="000A29B0">
              <w:rPr>
                <w:spacing w:val="-2"/>
              </w:rPr>
              <w:t>положения…</w:t>
            </w:r>
            <w:r w:rsidR="000A29B0">
              <w:tab/>
            </w:r>
            <w:r w:rsidR="000A29B0">
              <w:rPr>
                <w:spacing w:val="-10"/>
              </w:rPr>
              <w:t>3</w:t>
            </w:r>
          </w:hyperlink>
        </w:p>
        <w:p w:rsidR="005F080B" w:rsidRDefault="000A29B0">
          <w:pPr>
            <w:pStyle w:val="2"/>
            <w:numPr>
              <w:ilvl w:val="0"/>
              <w:numId w:val="3"/>
            </w:numPr>
            <w:tabs>
              <w:tab w:val="left" w:pos="815"/>
              <w:tab w:val="left" w:leader="dot" w:pos="8802"/>
            </w:tabs>
            <w:spacing w:before="276"/>
            <w:ind w:left="575" w:right="573" w:firstLine="0"/>
            <w:jc w:val="left"/>
          </w:pPr>
          <w:r>
            <w:t>Структура</w:t>
          </w:r>
          <w:r>
            <w:rPr>
              <w:spacing w:val="-5"/>
            </w:rPr>
            <w:t xml:space="preserve"> </w:t>
          </w:r>
          <w:r>
            <w:t>отчета</w:t>
          </w:r>
          <w:r>
            <w:rPr>
              <w:spacing w:val="-5"/>
            </w:rPr>
            <w:t xml:space="preserve"> </w:t>
          </w:r>
          <w:r>
            <w:t>о</w:t>
          </w:r>
          <w:r>
            <w:rPr>
              <w:spacing w:val="-4"/>
            </w:rPr>
            <w:t xml:space="preserve"> </w:t>
          </w:r>
          <w:r>
            <w:t>работе</w:t>
          </w:r>
          <w:r>
            <w:rPr>
              <w:spacing w:val="-5"/>
            </w:rPr>
            <w:t xml:space="preserve"> </w:t>
          </w:r>
          <w:r>
            <w:t>Контрольно-счетной</w:t>
          </w:r>
          <w:r>
            <w:rPr>
              <w:spacing w:val="-4"/>
            </w:rPr>
            <w:t xml:space="preserve"> </w:t>
          </w:r>
          <w:r>
            <w:t>палаты</w:t>
          </w:r>
          <w:r>
            <w:rPr>
              <w:spacing w:val="-4"/>
            </w:rPr>
            <w:t xml:space="preserve"> </w:t>
          </w:r>
          <w:r w:rsidR="001D5AD1">
            <w:t>Стародубского муниципального округа</w:t>
          </w:r>
          <w:r>
            <w:rPr>
              <w:spacing w:val="-5"/>
            </w:rPr>
            <w:t xml:space="preserve"> </w:t>
          </w:r>
          <w:r>
            <w:t>и организация работы по его формированию</w:t>
          </w:r>
          <w:r>
            <w:tab/>
          </w:r>
          <w:r>
            <w:rPr>
              <w:spacing w:val="-10"/>
            </w:rPr>
            <w:t>3</w:t>
          </w:r>
        </w:p>
        <w:p w:rsidR="005F080B" w:rsidRDefault="000A29B0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721"/>
              <w:tab w:val="left" w:leader="dot" w:pos="8933"/>
            </w:tabs>
            <w:ind w:left="721" w:hanging="300"/>
            <w:jc w:val="left"/>
          </w:pPr>
          <w:r>
            <w:t>Правила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отчета</w:t>
          </w:r>
          <w:r>
            <w:rPr>
              <w:spacing w:val="-6"/>
            </w:rPr>
            <w:t xml:space="preserve"> </w:t>
          </w:r>
          <w:r>
            <w:t>о</w:t>
          </w:r>
          <w:r>
            <w:rPr>
              <w:spacing w:val="-5"/>
            </w:rPr>
            <w:t xml:space="preserve"> </w:t>
          </w:r>
          <w:r>
            <w:t>работе</w:t>
          </w:r>
          <w:r>
            <w:rPr>
              <w:spacing w:val="-4"/>
            </w:rPr>
            <w:t xml:space="preserve"> </w:t>
          </w:r>
          <w:r>
            <w:t>Контрольно-счетной</w:t>
          </w:r>
          <w:r>
            <w:rPr>
              <w:spacing w:val="-5"/>
            </w:rPr>
            <w:t xml:space="preserve"> </w:t>
          </w:r>
          <w:r>
            <w:t>палаты</w:t>
          </w:r>
          <w:r>
            <w:rPr>
              <w:spacing w:val="-5"/>
            </w:rPr>
            <w:t xml:space="preserve"> </w:t>
          </w:r>
          <w:r w:rsidR="001D5AD1">
            <w:t>Стародубского муниципального округа</w:t>
          </w:r>
          <w:r>
            <w:tab/>
          </w:r>
          <w:r>
            <w:rPr>
              <w:spacing w:val="-10"/>
            </w:rPr>
            <w:t>4</w:t>
          </w:r>
        </w:p>
      </w:sdtContent>
    </w:sdt>
    <w:p w:rsidR="005F080B" w:rsidRDefault="005F080B">
      <w:pPr>
        <w:pStyle w:val="10"/>
        <w:sectPr w:rsidR="005F080B">
          <w:headerReference w:type="default" r:id="rId8"/>
          <w:pgSz w:w="11910" w:h="16840"/>
          <w:pgMar w:top="1040" w:right="708" w:bottom="280" w:left="1700" w:header="710" w:footer="0" w:gutter="0"/>
          <w:pgNumType w:start="2"/>
          <w:cols w:space="720"/>
        </w:sectPr>
      </w:pPr>
    </w:p>
    <w:p w:rsidR="005F080B" w:rsidRDefault="005F080B">
      <w:pPr>
        <w:pStyle w:val="a3"/>
        <w:spacing w:before="198"/>
      </w:pPr>
    </w:p>
    <w:p w:rsidR="005F080B" w:rsidRDefault="000A29B0">
      <w:pPr>
        <w:pStyle w:val="1"/>
        <w:numPr>
          <w:ilvl w:val="0"/>
          <w:numId w:val="2"/>
        </w:numPr>
        <w:tabs>
          <w:tab w:val="left" w:pos="4147"/>
        </w:tabs>
        <w:spacing w:line="274" w:lineRule="exact"/>
        <w:jc w:val="both"/>
      </w:pPr>
      <w:bookmarkStart w:id="1" w:name="_TOC_250000"/>
      <w:r>
        <w:t>Общие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положения</w:t>
      </w:r>
    </w:p>
    <w:p w:rsidR="005F080B" w:rsidRDefault="000A29B0">
      <w:pPr>
        <w:pStyle w:val="a3"/>
        <w:ind w:left="2" w:right="136" w:firstLine="719"/>
        <w:jc w:val="both"/>
      </w:pPr>
      <w:r>
        <w:t xml:space="preserve">СОД 3 «Порядок подготовки отчёта о работе Контрольно-счетной палаты </w:t>
      </w:r>
      <w:r w:rsidR="001D5AD1">
        <w:t>Стародубского муниципального округа</w:t>
      </w:r>
      <w:r>
        <w:t>» (далее – Стандарт) составлен в соответствии с Положением</w:t>
      </w:r>
      <w:r>
        <w:rPr>
          <w:spacing w:val="40"/>
        </w:rPr>
        <w:t xml:space="preserve"> </w:t>
      </w:r>
      <w:r>
        <w:t xml:space="preserve">«О Контрольно-счётной палате </w:t>
      </w:r>
      <w:r w:rsidR="001D5AD1">
        <w:t>Стародубского муниципального округа</w:t>
      </w:r>
      <w:r>
        <w:t xml:space="preserve">» и Регламентом Контрольно-счетной палаты </w:t>
      </w:r>
      <w:r w:rsidR="001D5AD1">
        <w:t>Стародубского муниципального округа</w:t>
      </w:r>
      <w:r>
        <w:rPr>
          <w:spacing w:val="40"/>
        </w:rPr>
        <w:t xml:space="preserve"> </w:t>
      </w:r>
      <w:r>
        <w:t>(далее – Регламент).</w:t>
      </w:r>
    </w:p>
    <w:p w:rsidR="005F080B" w:rsidRDefault="000A29B0">
      <w:pPr>
        <w:pStyle w:val="a3"/>
        <w:ind w:left="2" w:right="134" w:firstLine="719"/>
        <w:jc w:val="both"/>
      </w:pPr>
      <w:r>
        <w:t>Стандарт определяет правила подготовки проекта отчета о работе Контрольн</w:t>
      </w:r>
      <w:proofErr w:type="gramStart"/>
      <w:r>
        <w:t>о-</w:t>
      </w:r>
      <w:proofErr w:type="gramEnd"/>
      <w:r>
        <w:t xml:space="preserve"> счетной палаты </w:t>
      </w:r>
      <w:r w:rsidR="001D5AD1">
        <w:t>Стародубского муниципального округа</w:t>
      </w:r>
      <w:r>
        <w:t xml:space="preserve"> за предыдущий год (далее – Годовой отчет).</w:t>
      </w:r>
    </w:p>
    <w:p w:rsidR="005F080B" w:rsidRDefault="000A29B0">
      <w:pPr>
        <w:pStyle w:val="a3"/>
        <w:ind w:left="2" w:right="135" w:firstLine="719"/>
        <w:jc w:val="both"/>
      </w:pPr>
      <w:r>
        <w:t xml:space="preserve">Стандарт определяет структуру отчета о работе Контрольно-счетной палаты </w:t>
      </w:r>
      <w:r w:rsidR="001D5AD1">
        <w:t>Стародубского муниципального округа</w:t>
      </w:r>
      <w:r>
        <w:t xml:space="preserve"> (далее – Контрольно-счетная палата), схему организации работы по подготовке проекта отчета, общие требования к представлению документов и материалов к формированию отчета.</w:t>
      </w:r>
    </w:p>
    <w:p w:rsidR="005F080B" w:rsidRDefault="000A29B0">
      <w:pPr>
        <w:pStyle w:val="1"/>
        <w:numPr>
          <w:ilvl w:val="0"/>
          <w:numId w:val="2"/>
        </w:numPr>
        <w:tabs>
          <w:tab w:val="left" w:pos="474"/>
          <w:tab w:val="left" w:pos="2330"/>
        </w:tabs>
        <w:spacing w:before="3"/>
        <w:ind w:left="2330" w:right="373" w:hanging="2096"/>
        <w:jc w:val="both"/>
      </w:pPr>
      <w:r>
        <w:t>Структура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Контрольно-счетной</w:t>
      </w:r>
      <w:r>
        <w:rPr>
          <w:spacing w:val="-6"/>
        </w:rPr>
        <w:t xml:space="preserve"> </w:t>
      </w:r>
      <w:r>
        <w:t>палате</w:t>
      </w:r>
      <w:r>
        <w:rPr>
          <w:spacing w:val="-5"/>
        </w:rPr>
        <w:t xml:space="preserve"> </w:t>
      </w:r>
      <w:r w:rsidR="001D5AD1">
        <w:t>Стародубского муниципального округа</w:t>
      </w:r>
      <w:r>
        <w:t xml:space="preserve"> и организация работы по его формированию</w:t>
      </w:r>
    </w:p>
    <w:p w:rsidR="005F080B" w:rsidRDefault="000A29B0">
      <w:pPr>
        <w:pStyle w:val="a3"/>
        <w:ind w:left="2" w:right="134" w:firstLine="719"/>
        <w:jc w:val="both"/>
      </w:pPr>
      <w:r>
        <w:t>Годовой отчет содержит общие данные, характеризующие работу Контрольн</w:t>
      </w:r>
      <w:proofErr w:type="gramStart"/>
      <w:r>
        <w:t>о-</w:t>
      </w:r>
      <w:proofErr w:type="gramEnd"/>
      <w:r>
        <w:t xml:space="preserve"> счетной палаты в целом, и их анализ. Годовой отчет включает следующие разделы и </w:t>
      </w:r>
      <w:r>
        <w:rPr>
          <w:spacing w:val="-2"/>
        </w:rPr>
        <w:t>подразделы</w:t>
      </w:r>
      <w:proofErr w:type="gramStart"/>
      <w:r>
        <w:rPr>
          <w:spacing w:val="-2"/>
          <w:vertAlign w:val="superscript"/>
        </w:rPr>
        <w:t>1</w:t>
      </w:r>
      <w:proofErr w:type="gramEnd"/>
      <w:r>
        <w:rPr>
          <w:spacing w:val="-2"/>
        </w:rPr>
        <w:t>: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jc w:val="both"/>
        <w:rPr>
          <w:sz w:val="24"/>
        </w:rPr>
      </w:pPr>
      <w:r>
        <w:rPr>
          <w:sz w:val="24"/>
        </w:rPr>
        <w:t>Вводные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Контрольно-счетной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75"/>
        </w:tabs>
        <w:ind w:left="2" w:right="146" w:firstLine="719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формированием и исполнением бюджета </w:t>
      </w:r>
      <w:r w:rsidR="001D5AD1">
        <w:rPr>
          <w:sz w:val="24"/>
        </w:rPr>
        <w:t xml:space="preserve">Стародубского </w:t>
      </w:r>
      <w:r>
        <w:rPr>
          <w:sz w:val="24"/>
        </w:rPr>
        <w:t xml:space="preserve">муниципального </w:t>
      </w:r>
      <w:r w:rsidR="001D5AD1">
        <w:rPr>
          <w:sz w:val="24"/>
        </w:rPr>
        <w:t>округа</w:t>
      </w:r>
      <w:r>
        <w:rPr>
          <w:sz w:val="24"/>
        </w:rPr>
        <w:t>.</w:t>
      </w:r>
    </w:p>
    <w:p w:rsidR="005F080B" w:rsidRDefault="000A29B0">
      <w:pPr>
        <w:pStyle w:val="a4"/>
        <w:numPr>
          <w:ilvl w:val="2"/>
          <w:numId w:val="2"/>
        </w:numPr>
        <w:tabs>
          <w:tab w:val="left" w:pos="1201"/>
        </w:tabs>
        <w:ind w:left="1201"/>
        <w:rPr>
          <w:sz w:val="24"/>
        </w:rPr>
      </w:pPr>
      <w:r>
        <w:rPr>
          <w:sz w:val="24"/>
        </w:rPr>
        <w:t>Предварительный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F080B" w:rsidRDefault="000A29B0">
      <w:pPr>
        <w:pStyle w:val="a4"/>
        <w:numPr>
          <w:ilvl w:val="2"/>
          <w:numId w:val="2"/>
        </w:numPr>
        <w:tabs>
          <w:tab w:val="left" w:pos="1141"/>
        </w:tabs>
        <w:ind w:left="1141"/>
        <w:rPr>
          <w:sz w:val="24"/>
        </w:rPr>
      </w:pPr>
      <w:r>
        <w:rPr>
          <w:sz w:val="24"/>
        </w:rPr>
        <w:t>Оперативный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F080B" w:rsidRDefault="000A29B0">
      <w:pPr>
        <w:pStyle w:val="a4"/>
        <w:numPr>
          <w:ilvl w:val="2"/>
          <w:numId w:val="2"/>
        </w:numPr>
        <w:tabs>
          <w:tab w:val="left" w:pos="1141"/>
        </w:tabs>
        <w:ind w:left="1141"/>
        <w:rPr>
          <w:sz w:val="24"/>
        </w:rPr>
      </w:pPr>
      <w:r>
        <w:rPr>
          <w:sz w:val="24"/>
        </w:rPr>
        <w:t>Последующий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Краткая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экспертно-аналитических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1196"/>
          <w:tab w:val="left" w:pos="3168"/>
          <w:tab w:val="left" w:pos="5591"/>
          <w:tab w:val="left" w:pos="6612"/>
          <w:tab w:val="left" w:pos="7013"/>
          <w:tab w:val="left" w:pos="9227"/>
        </w:tabs>
        <w:ind w:left="2" w:right="140" w:firstLine="719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2"/>
          <w:sz w:val="24"/>
        </w:rPr>
        <w:t>Контрольно-счетной</w:t>
      </w:r>
      <w:r>
        <w:rPr>
          <w:sz w:val="24"/>
        </w:rPr>
        <w:tab/>
      </w:r>
      <w:r>
        <w:rPr>
          <w:spacing w:val="-2"/>
          <w:sz w:val="24"/>
        </w:rPr>
        <w:t>палаты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государственными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муниципальными органами.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Информирование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Контрольно-счетной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палаты.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Контрольно-счетной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палаты.</w:t>
      </w:r>
    </w:p>
    <w:p w:rsidR="005F080B" w:rsidRDefault="000A29B0">
      <w:pPr>
        <w:pStyle w:val="a4"/>
        <w:numPr>
          <w:ilvl w:val="1"/>
          <w:numId w:val="2"/>
        </w:numPr>
        <w:tabs>
          <w:tab w:val="left" w:pos="961"/>
        </w:tabs>
        <w:ind w:left="961"/>
        <w:rPr>
          <w:sz w:val="24"/>
        </w:rPr>
      </w:pPr>
      <w:r>
        <w:rPr>
          <w:sz w:val="24"/>
        </w:rPr>
        <w:t>Заключительные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5F080B" w:rsidRDefault="000A29B0">
      <w:pPr>
        <w:pStyle w:val="a3"/>
        <w:ind w:left="2" w:firstLine="719"/>
      </w:pP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приложений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Годовому</w:t>
      </w:r>
      <w:r>
        <w:rPr>
          <w:spacing w:val="80"/>
        </w:rPr>
        <w:t xml:space="preserve"> </w:t>
      </w:r>
      <w:r>
        <w:t>отчету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приводиться</w:t>
      </w:r>
      <w:r>
        <w:rPr>
          <w:spacing w:val="80"/>
        </w:rPr>
        <w:t xml:space="preserve"> </w:t>
      </w:r>
      <w:r>
        <w:t>необходимые количественные и фактографические данные, в том числе:</w:t>
      </w:r>
    </w:p>
    <w:p w:rsidR="005F080B" w:rsidRDefault="000A29B0">
      <w:pPr>
        <w:pStyle w:val="a3"/>
        <w:ind w:left="721"/>
      </w:pPr>
      <w:r>
        <w:t>основные показатели деятельности Контрольно-счетной палаты в отчетном году; структура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нарушений,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Контрольно-счетной</w:t>
      </w:r>
      <w:r>
        <w:rPr>
          <w:spacing w:val="40"/>
        </w:rPr>
        <w:t xml:space="preserve"> </w:t>
      </w:r>
      <w:r>
        <w:t>палатой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5F080B" w:rsidRDefault="000A29B0">
      <w:pPr>
        <w:pStyle w:val="a3"/>
        <w:ind w:left="2"/>
      </w:pPr>
      <w:proofErr w:type="gramStart"/>
      <w:r>
        <w:t>отчетном</w:t>
      </w:r>
      <w:r>
        <w:rPr>
          <w:spacing w:val="-2"/>
        </w:rPr>
        <w:t xml:space="preserve"> </w:t>
      </w:r>
      <w:r>
        <w:rPr>
          <w:spacing w:val="-4"/>
        </w:rPr>
        <w:t>году;</w:t>
      </w:r>
      <w:proofErr w:type="gramEnd"/>
    </w:p>
    <w:p w:rsidR="005F080B" w:rsidRDefault="000A29B0">
      <w:pPr>
        <w:pStyle w:val="a3"/>
        <w:ind w:left="2" w:right="138" w:firstLine="719"/>
        <w:jc w:val="both"/>
      </w:pPr>
      <w:r>
        <w:t>количественные данные о выполнении представлений Контрольно-счетной палаты в отчетном году.</w:t>
      </w:r>
    </w:p>
    <w:p w:rsidR="005F080B" w:rsidRDefault="000A29B0">
      <w:pPr>
        <w:pStyle w:val="a3"/>
        <w:ind w:left="2" w:right="141" w:firstLine="719"/>
        <w:jc w:val="both"/>
      </w:pPr>
      <w:r>
        <w:t xml:space="preserve">Подготовка проекта Годового отчета осуществляется Контрольно-счетной палатой в соответствии со схемой организации работы, утверждаемой </w:t>
      </w:r>
      <w:r w:rsidR="001D5AD1">
        <w:t xml:space="preserve">приказом </w:t>
      </w:r>
      <w:r>
        <w:t>председателя Контрольно-счетной палаты.</w:t>
      </w:r>
    </w:p>
    <w:p w:rsidR="005F080B" w:rsidRPr="001D5AD1" w:rsidRDefault="000A29B0">
      <w:pPr>
        <w:pStyle w:val="a3"/>
        <w:spacing w:line="242" w:lineRule="auto"/>
        <w:ind w:left="2" w:right="136" w:firstLine="719"/>
        <w:jc w:val="both"/>
      </w:pPr>
      <w:r>
        <w:t xml:space="preserve">Годовой отчет, утвержденный </w:t>
      </w:r>
      <w:r w:rsidR="001D5AD1">
        <w:t>приказом председателя</w:t>
      </w:r>
      <w:r>
        <w:t xml:space="preserve"> Контрольно-счетной палаты, вносится на рассмотрение Совета народных депутатов </w:t>
      </w:r>
      <w:r w:rsidR="001D5AD1">
        <w:t xml:space="preserve">Стародубского муниципального округа </w:t>
      </w:r>
      <w:r>
        <w:t xml:space="preserve">за подписью председателя Контрольно-счетной палаты </w:t>
      </w:r>
      <w:r w:rsidRPr="001D5AD1">
        <w:t xml:space="preserve">до </w:t>
      </w:r>
      <w:r w:rsidR="001D5AD1" w:rsidRPr="001D5AD1">
        <w:t>1 апреля</w:t>
      </w:r>
      <w:r w:rsidRPr="001D5AD1">
        <w:t xml:space="preserve"> года, следующего </w:t>
      </w:r>
      <w:proofErr w:type="gramStart"/>
      <w:r w:rsidRPr="001D5AD1">
        <w:t>за</w:t>
      </w:r>
      <w:proofErr w:type="gramEnd"/>
      <w:r w:rsidRPr="001D5AD1">
        <w:t xml:space="preserve"> </w:t>
      </w:r>
      <w:r w:rsidRPr="001D5AD1">
        <w:rPr>
          <w:spacing w:val="-2"/>
        </w:rPr>
        <w:t>отчетным.</w:t>
      </w:r>
    </w:p>
    <w:p w:rsidR="005F080B" w:rsidRDefault="000A29B0">
      <w:pPr>
        <w:pStyle w:val="a3"/>
        <w:spacing w:before="4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D9DC9" wp14:editId="0D1AE756">
                <wp:simplePos x="0" y="0"/>
                <wp:positionH relativeFrom="page">
                  <wp:posOffset>1080820</wp:posOffset>
                </wp:positionH>
                <wp:positionV relativeFrom="paragraph">
                  <wp:posOffset>190278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4.982551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F080B" w:rsidRDefault="000A29B0">
      <w:pPr>
        <w:spacing w:before="103"/>
        <w:ind w:left="2" w:right="139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 xml:space="preserve">ри необходимости в структуру Годового отчета решением </w:t>
      </w:r>
      <w:r w:rsidR="001D5AD1">
        <w:rPr>
          <w:sz w:val="20"/>
        </w:rPr>
        <w:t>председателя</w:t>
      </w:r>
      <w:r>
        <w:rPr>
          <w:sz w:val="20"/>
        </w:rPr>
        <w:t xml:space="preserve"> Контрольно-счетной палаты </w:t>
      </w:r>
      <w:r w:rsidR="001D5AD1">
        <w:rPr>
          <w:sz w:val="20"/>
        </w:rPr>
        <w:t>Стародубского муниципального округа</w:t>
      </w:r>
      <w:r>
        <w:rPr>
          <w:sz w:val="20"/>
        </w:rPr>
        <w:t xml:space="preserve"> могут быть внесены непринципиальные изменения. Принципиальное изменение структуры Годового отчета возможно только в случае внесения соответствующих изменений в настоящий Стандарт.</w:t>
      </w:r>
    </w:p>
    <w:p w:rsidR="005F080B" w:rsidRDefault="005F080B">
      <w:pPr>
        <w:jc w:val="both"/>
        <w:rPr>
          <w:sz w:val="20"/>
        </w:rPr>
        <w:sectPr w:rsidR="005F080B">
          <w:pgSz w:w="11910" w:h="16840"/>
          <w:pgMar w:top="1040" w:right="708" w:bottom="280" w:left="1700" w:header="710" w:footer="0" w:gutter="0"/>
          <w:cols w:space="720"/>
        </w:sectPr>
      </w:pPr>
    </w:p>
    <w:p w:rsidR="005F080B" w:rsidRDefault="000A29B0">
      <w:pPr>
        <w:pStyle w:val="a3"/>
        <w:spacing w:before="193"/>
        <w:ind w:left="2" w:right="144" w:firstLine="719"/>
        <w:jc w:val="both"/>
      </w:pPr>
      <w:r>
        <w:lastRenderedPageBreak/>
        <w:t>Представление Годового отчета в Совет народных депутатов</w:t>
      </w:r>
      <w:r w:rsidR="001D5AD1">
        <w:t xml:space="preserve"> Стародубского муниципального округа</w:t>
      </w:r>
      <w:r>
        <w:t xml:space="preserve"> осуществляется председателем Контрольно-счетной палаты.</w:t>
      </w:r>
    </w:p>
    <w:p w:rsidR="005F080B" w:rsidRDefault="000A29B0">
      <w:pPr>
        <w:pStyle w:val="1"/>
        <w:numPr>
          <w:ilvl w:val="0"/>
          <w:numId w:val="2"/>
        </w:numPr>
        <w:tabs>
          <w:tab w:val="left" w:pos="938"/>
        </w:tabs>
        <w:spacing w:before="5" w:line="274" w:lineRule="exact"/>
        <w:ind w:left="938"/>
        <w:jc w:val="both"/>
      </w:pPr>
      <w:r>
        <w:t>Правила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Контрольно-счетной</w:t>
      </w:r>
      <w:r>
        <w:rPr>
          <w:spacing w:val="-5"/>
        </w:rPr>
        <w:t xml:space="preserve"> </w:t>
      </w:r>
      <w:r>
        <w:rPr>
          <w:spacing w:val="-2"/>
        </w:rPr>
        <w:t>палаты</w:t>
      </w:r>
    </w:p>
    <w:p w:rsidR="005F080B" w:rsidRDefault="000A29B0">
      <w:pPr>
        <w:pStyle w:val="a3"/>
        <w:ind w:left="2" w:right="136" w:firstLine="719"/>
        <w:jc w:val="both"/>
      </w:pPr>
      <w:r>
        <w:t>Учет количества проведенных контрольных и экспертно-аналитических мероприятий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исполненным</w:t>
      </w:r>
      <w:r>
        <w:rPr>
          <w:spacing w:val="-6"/>
        </w:rPr>
        <w:t xml:space="preserve"> </w:t>
      </w:r>
      <w:r>
        <w:t>пунктам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Контрольно-счетной палаты 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:rsidR="005F080B" w:rsidRDefault="000A29B0">
      <w:pPr>
        <w:pStyle w:val="a3"/>
        <w:ind w:left="2" w:right="144" w:firstLine="719"/>
        <w:jc w:val="both"/>
      </w:pPr>
      <w:r>
        <w:t xml:space="preserve">В годовых отчетах приводятся данные только по завершенным контрольным и экспертно-аналитическим мероприятиям (отчеты и иные документы, по результатам которых утверждены </w:t>
      </w:r>
      <w:r w:rsidR="001D5AD1">
        <w:t>председателем</w:t>
      </w:r>
      <w:r>
        <w:t xml:space="preserve"> Контрольно-счетной палаты).</w:t>
      </w:r>
    </w:p>
    <w:p w:rsidR="005F080B" w:rsidRDefault="000A29B0">
      <w:pPr>
        <w:pStyle w:val="a3"/>
        <w:ind w:left="2" w:right="136" w:firstLine="719"/>
        <w:jc w:val="both"/>
      </w:pPr>
      <w:r>
        <w:t xml:space="preserve">В отчетах о работе каждое контрольное и экспертно-аналитическое мероприятие </w:t>
      </w:r>
      <w:r>
        <w:rPr>
          <w:spacing w:val="-2"/>
        </w:rPr>
        <w:t>учитывается:</w:t>
      </w:r>
    </w:p>
    <w:p w:rsidR="005F080B" w:rsidRDefault="000A29B0">
      <w:pPr>
        <w:pStyle w:val="a4"/>
        <w:numPr>
          <w:ilvl w:val="0"/>
          <w:numId w:val="1"/>
        </w:numPr>
        <w:tabs>
          <w:tab w:val="left" w:pos="977"/>
        </w:tabs>
        <w:ind w:right="135" w:firstLine="719"/>
        <w:jc w:val="both"/>
        <w:rPr>
          <w:sz w:val="24"/>
        </w:rPr>
      </w:pPr>
      <w:r>
        <w:rPr>
          <w:sz w:val="24"/>
        </w:rPr>
        <w:t xml:space="preserve">По отношению к контролю формирования и исполнения бюджета </w:t>
      </w:r>
      <w:r w:rsidR="001D5AD1">
        <w:rPr>
          <w:sz w:val="24"/>
        </w:rPr>
        <w:t>Стародубского муниципального округа</w:t>
      </w:r>
      <w:r>
        <w:rPr>
          <w:sz w:val="24"/>
        </w:rPr>
        <w:t xml:space="preserve"> – как:</w:t>
      </w:r>
    </w:p>
    <w:p w:rsidR="005F080B" w:rsidRDefault="000A29B0">
      <w:pPr>
        <w:pStyle w:val="a3"/>
        <w:ind w:left="2" w:right="137" w:firstLine="719"/>
        <w:jc w:val="both"/>
      </w:pPr>
      <w:r>
        <w:t>проверка или экспертно-аналитическое мероприятие, проведенное в рамках непосредственного обеспечения предварительного и последующего контроля формирования и исполнения бюджета муниципального района или иное тематическое контрольное и экспертно-аналитическое мероприятие.</w:t>
      </w:r>
    </w:p>
    <w:p w:rsidR="005F080B" w:rsidRDefault="000A29B0">
      <w:pPr>
        <w:pStyle w:val="a4"/>
        <w:numPr>
          <w:ilvl w:val="0"/>
          <w:numId w:val="1"/>
        </w:numPr>
        <w:tabs>
          <w:tab w:val="left" w:pos="1001"/>
        </w:tabs>
        <w:ind w:right="134" w:firstLine="719"/>
        <w:jc w:val="both"/>
        <w:rPr>
          <w:sz w:val="24"/>
        </w:rPr>
      </w:pPr>
      <w:r>
        <w:rPr>
          <w:sz w:val="24"/>
        </w:rPr>
        <w:t>По отношению к выполнению поручений и обращений к Контрольно-счетной палате – как контрольное или экспертно-аналитическое мероприятие, выполненное:</w:t>
      </w:r>
    </w:p>
    <w:p w:rsidR="005F080B" w:rsidRDefault="000A29B0">
      <w:pPr>
        <w:pStyle w:val="a3"/>
        <w:ind w:left="2" w:firstLine="719"/>
      </w:pPr>
      <w:r>
        <w:t>по поручению, предложению, запросу, подлежащему обязательному включению в план работы Контрольно-счетной палаты,</w:t>
      </w:r>
    </w:p>
    <w:p w:rsidR="005F080B" w:rsidRDefault="000A29B0">
      <w:pPr>
        <w:pStyle w:val="a3"/>
        <w:ind w:left="2" w:firstLine="719"/>
      </w:pPr>
      <w:r>
        <w:t>по запросу, подлежащему обязательному рассмотрению при формировании плана работы Контрольно-счетной палаты;</w:t>
      </w:r>
    </w:p>
    <w:p w:rsidR="005F080B" w:rsidRDefault="000A29B0">
      <w:pPr>
        <w:pStyle w:val="a3"/>
        <w:ind w:left="721"/>
      </w:pPr>
      <w:r>
        <w:t>по</w:t>
      </w:r>
      <w:r>
        <w:rPr>
          <w:spacing w:val="-6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Контрольно-счетной</w:t>
      </w:r>
      <w:r>
        <w:rPr>
          <w:spacing w:val="-4"/>
        </w:rPr>
        <w:t xml:space="preserve"> </w:t>
      </w:r>
      <w:r>
        <w:t>палаты</w:t>
      </w:r>
      <w:r>
        <w:rPr>
          <w:spacing w:val="-3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поручения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обращения).</w:t>
      </w:r>
    </w:p>
    <w:p w:rsidR="005F080B" w:rsidRDefault="000A29B0">
      <w:pPr>
        <w:pStyle w:val="a4"/>
        <w:numPr>
          <w:ilvl w:val="0"/>
          <w:numId w:val="1"/>
        </w:numPr>
        <w:tabs>
          <w:tab w:val="left" w:pos="1066"/>
        </w:tabs>
        <w:ind w:right="136" w:firstLine="719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мероприятие,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 Контрольно-счётной палатой Брянской области, правоохранительными органами и т.д.</w:t>
      </w:r>
    </w:p>
    <w:p w:rsidR="005F080B" w:rsidRDefault="000A29B0">
      <w:pPr>
        <w:pStyle w:val="a3"/>
        <w:ind w:left="2" w:right="141" w:firstLine="719"/>
        <w:jc w:val="both"/>
      </w:pPr>
      <w:r>
        <w:t>При определении количества проверенных объектов в качестве объекта проверки учитывается организация (юридическое лицо), в которой в отчетном периоде были проведены контрольные мероприятия и по их результатам составлен акт. При проведении нескольких контрольных мероприятий на одном объекте в течение отчетного периода объект учитывается столько раз, сколько он являлся объектом контрольных и (или) экспертно-аналитических мероприятий, завершенных в отчетном году, в соответствии с программами их проведения.</w:t>
      </w:r>
    </w:p>
    <w:p w:rsidR="005F080B" w:rsidRDefault="000A29B0">
      <w:pPr>
        <w:pStyle w:val="a3"/>
        <w:ind w:left="2" w:right="140" w:firstLine="719"/>
        <w:jc w:val="both"/>
      </w:pPr>
      <w:r>
        <w:t>Все данные приводятся строго за отчетный период (за период с 1 января по 31 декабря отчетного года). Информация по выявленным финансовым нарушениям включается в отчет о работе Контрольно-счетной палаты только на основании соответствующих решений Коллегии Контрольно-счетной палаты об утверждении</w:t>
      </w:r>
      <w:r>
        <w:rPr>
          <w:spacing w:val="40"/>
        </w:rPr>
        <w:t xml:space="preserve"> </w:t>
      </w:r>
      <w:r>
        <w:t>отчетов о результатах контрольных мероприятий.</w:t>
      </w:r>
    </w:p>
    <w:p w:rsidR="005F080B" w:rsidRDefault="000A29B0">
      <w:pPr>
        <w:pStyle w:val="a3"/>
        <w:ind w:left="2" w:right="146" w:firstLine="719"/>
        <w:jc w:val="both"/>
      </w:pPr>
      <w:r>
        <w:t xml:space="preserve">Суммы выявленных и возмещенных финансовых нарушений указываются в </w:t>
      </w:r>
      <w:proofErr w:type="gramStart"/>
      <w:r>
        <w:t>тысячах рублей</w:t>
      </w:r>
      <w:proofErr w:type="gramEnd"/>
      <w:r>
        <w:t xml:space="preserve"> с точностью до первого десятичного знака.</w:t>
      </w:r>
    </w:p>
    <w:p w:rsidR="005F080B" w:rsidRDefault="000A29B0">
      <w:pPr>
        <w:pStyle w:val="a3"/>
        <w:ind w:left="2" w:right="134" w:firstLine="719"/>
        <w:jc w:val="both"/>
      </w:pPr>
      <w:r>
        <w:t>Текстовые документы и материалы к формированию отчета о работе Контрольн</w:t>
      </w:r>
      <w:proofErr w:type="gramStart"/>
      <w:r>
        <w:t>о-</w:t>
      </w:r>
      <w:proofErr w:type="gramEnd"/>
      <w:r>
        <w:t xml:space="preserve"> счетной палаты оформляются в соответствии со следующими требованиями:</w:t>
      </w:r>
    </w:p>
    <w:p w:rsidR="005F080B" w:rsidRDefault="000A29B0">
      <w:pPr>
        <w:pStyle w:val="a3"/>
        <w:spacing w:before="1"/>
        <w:ind w:left="2" w:right="135" w:firstLine="719"/>
        <w:jc w:val="both"/>
      </w:pPr>
      <w:proofErr w:type="gramStart"/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; размер шрифта – 14; межстрочный интервал – 1,5;</w:t>
      </w:r>
      <w:r>
        <w:rPr>
          <w:spacing w:val="80"/>
        </w:rPr>
        <w:t xml:space="preserve"> </w:t>
      </w:r>
      <w:r>
        <w:t>поля страницы: левое – 2,5 см, верхнее и нижнее – по 2,0 см, правое – 1,5 см; абзацный отступ – 1,25 см; без переносов слов; нумерация страниц – по центру сверху, на первой странице номер не указывается.</w:t>
      </w:r>
      <w:proofErr w:type="gramEnd"/>
    </w:p>
    <w:p w:rsidR="005F080B" w:rsidRDefault="000A29B0">
      <w:pPr>
        <w:pStyle w:val="a3"/>
        <w:ind w:left="2" w:right="136" w:firstLine="719"/>
        <w:jc w:val="both"/>
      </w:pPr>
      <w:r>
        <w:t>Документы и материалы к формированию отчета о работе Контрольно-счетной палаты представляются на бумажном носителе и в электронном виде (при</w:t>
      </w:r>
      <w:r>
        <w:rPr>
          <w:spacing w:val="40"/>
        </w:rPr>
        <w:t xml:space="preserve"> </w:t>
      </w:r>
      <w:r>
        <w:rPr>
          <w:spacing w:val="-2"/>
        </w:rPr>
        <w:t>необходимости).</w:t>
      </w:r>
    </w:p>
    <w:sectPr w:rsidR="005F080B">
      <w:pgSz w:w="11910" w:h="16840"/>
      <w:pgMar w:top="1040" w:right="708" w:bottom="280" w:left="17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99" w:rsidRDefault="004E4899">
      <w:r>
        <w:separator/>
      </w:r>
    </w:p>
  </w:endnote>
  <w:endnote w:type="continuationSeparator" w:id="0">
    <w:p w:rsidR="004E4899" w:rsidRDefault="004E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99" w:rsidRDefault="004E4899">
      <w:r>
        <w:separator/>
      </w:r>
    </w:p>
  </w:footnote>
  <w:footnote w:type="continuationSeparator" w:id="0">
    <w:p w:rsidR="004E4899" w:rsidRDefault="004E4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0B" w:rsidRDefault="000A29B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3975227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080B" w:rsidRDefault="000A29B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46DC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pt;margin-top:34.5pt;width:13pt;height:15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D86NKjfAAAACQEAAA8AAAAAAAAAAAAAAAAA/wMAAGRycy9kb3ducmV2LnhtbFBLBQYA&#10;AAAABAAEAPMAAAALBQAAAAA=&#10;" filled="f" stroked="f">
              <v:path arrowok="t"/>
              <v:textbox inset="0,0,0,0">
                <w:txbxContent>
                  <w:p w:rsidR="005F080B" w:rsidRDefault="000A29B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46DC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E8"/>
    <w:multiLevelType w:val="hybridMultilevel"/>
    <w:tmpl w:val="5FF49798"/>
    <w:lvl w:ilvl="0" w:tplc="25709CA4">
      <w:start w:val="1"/>
      <w:numFmt w:val="decimal"/>
      <w:lvlText w:val="%1."/>
      <w:lvlJc w:val="left"/>
      <w:pPr>
        <w:ind w:left="7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00F7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2" w:tplc="CFC2EE9A">
      <w:numFmt w:val="bullet"/>
      <w:lvlText w:val="•"/>
      <w:lvlJc w:val="left"/>
      <w:pPr>
        <w:ind w:left="2523" w:hanging="240"/>
      </w:pPr>
      <w:rPr>
        <w:rFonts w:hint="default"/>
        <w:lang w:val="ru-RU" w:eastAsia="en-US" w:bidi="ar-SA"/>
      </w:rPr>
    </w:lvl>
    <w:lvl w:ilvl="3" w:tplc="438CA0F0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4" w:tplc="AB182706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54BAC59A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6" w:tplc="19507D22">
      <w:numFmt w:val="bullet"/>
      <w:lvlText w:val="•"/>
      <w:lvlJc w:val="left"/>
      <w:pPr>
        <w:ind w:left="6011" w:hanging="240"/>
      </w:pPr>
      <w:rPr>
        <w:rFonts w:hint="default"/>
        <w:lang w:val="ru-RU" w:eastAsia="en-US" w:bidi="ar-SA"/>
      </w:rPr>
    </w:lvl>
    <w:lvl w:ilvl="7" w:tplc="E6841698">
      <w:numFmt w:val="bullet"/>
      <w:lvlText w:val="•"/>
      <w:lvlJc w:val="left"/>
      <w:pPr>
        <w:ind w:left="6882" w:hanging="240"/>
      </w:pPr>
      <w:rPr>
        <w:rFonts w:hint="default"/>
        <w:lang w:val="ru-RU" w:eastAsia="en-US" w:bidi="ar-SA"/>
      </w:rPr>
    </w:lvl>
    <w:lvl w:ilvl="8" w:tplc="0CA0AAD2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</w:abstractNum>
  <w:abstractNum w:abstractNumId="1">
    <w:nsid w:val="3F514FCC"/>
    <w:multiLevelType w:val="multilevel"/>
    <w:tmpl w:val="032E7876"/>
    <w:lvl w:ilvl="0">
      <w:start w:val="1"/>
      <w:numFmt w:val="decimal"/>
      <w:lvlText w:val="%1."/>
      <w:lvlJc w:val="left"/>
      <w:pPr>
        <w:ind w:left="41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420"/>
      </w:pPr>
      <w:rPr>
        <w:rFonts w:hint="default"/>
        <w:lang w:val="ru-RU" w:eastAsia="en-US" w:bidi="ar-SA"/>
      </w:rPr>
    </w:lvl>
  </w:abstractNum>
  <w:abstractNum w:abstractNumId="2">
    <w:nsid w:val="49BF57EC"/>
    <w:multiLevelType w:val="hybridMultilevel"/>
    <w:tmpl w:val="A476C6CE"/>
    <w:lvl w:ilvl="0" w:tplc="74263054">
      <w:start w:val="1"/>
      <w:numFmt w:val="decimal"/>
      <w:lvlText w:val="%1.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854F8">
      <w:numFmt w:val="bullet"/>
      <w:lvlText w:val="•"/>
      <w:lvlJc w:val="left"/>
      <w:pPr>
        <w:ind w:left="949" w:hanging="257"/>
      </w:pPr>
      <w:rPr>
        <w:rFonts w:hint="default"/>
        <w:lang w:val="ru-RU" w:eastAsia="en-US" w:bidi="ar-SA"/>
      </w:rPr>
    </w:lvl>
    <w:lvl w:ilvl="2" w:tplc="31528010">
      <w:numFmt w:val="bullet"/>
      <w:lvlText w:val="•"/>
      <w:lvlJc w:val="left"/>
      <w:pPr>
        <w:ind w:left="1899" w:hanging="257"/>
      </w:pPr>
      <w:rPr>
        <w:rFonts w:hint="default"/>
        <w:lang w:val="ru-RU" w:eastAsia="en-US" w:bidi="ar-SA"/>
      </w:rPr>
    </w:lvl>
    <w:lvl w:ilvl="3" w:tplc="6D4C9394">
      <w:numFmt w:val="bullet"/>
      <w:lvlText w:val="•"/>
      <w:lvlJc w:val="left"/>
      <w:pPr>
        <w:ind w:left="2849" w:hanging="257"/>
      </w:pPr>
      <w:rPr>
        <w:rFonts w:hint="default"/>
        <w:lang w:val="ru-RU" w:eastAsia="en-US" w:bidi="ar-SA"/>
      </w:rPr>
    </w:lvl>
    <w:lvl w:ilvl="4" w:tplc="20721762">
      <w:numFmt w:val="bullet"/>
      <w:lvlText w:val="•"/>
      <w:lvlJc w:val="left"/>
      <w:pPr>
        <w:ind w:left="3799" w:hanging="257"/>
      </w:pPr>
      <w:rPr>
        <w:rFonts w:hint="default"/>
        <w:lang w:val="ru-RU" w:eastAsia="en-US" w:bidi="ar-SA"/>
      </w:rPr>
    </w:lvl>
    <w:lvl w:ilvl="5" w:tplc="4FEA4B30">
      <w:numFmt w:val="bullet"/>
      <w:lvlText w:val="•"/>
      <w:lvlJc w:val="left"/>
      <w:pPr>
        <w:ind w:left="4749" w:hanging="257"/>
      </w:pPr>
      <w:rPr>
        <w:rFonts w:hint="default"/>
        <w:lang w:val="ru-RU" w:eastAsia="en-US" w:bidi="ar-SA"/>
      </w:rPr>
    </w:lvl>
    <w:lvl w:ilvl="6" w:tplc="FED6ED82">
      <w:numFmt w:val="bullet"/>
      <w:lvlText w:val="•"/>
      <w:lvlJc w:val="left"/>
      <w:pPr>
        <w:ind w:left="5699" w:hanging="257"/>
      </w:pPr>
      <w:rPr>
        <w:rFonts w:hint="default"/>
        <w:lang w:val="ru-RU" w:eastAsia="en-US" w:bidi="ar-SA"/>
      </w:rPr>
    </w:lvl>
    <w:lvl w:ilvl="7" w:tplc="5B100E3A">
      <w:numFmt w:val="bullet"/>
      <w:lvlText w:val="•"/>
      <w:lvlJc w:val="left"/>
      <w:pPr>
        <w:ind w:left="6648" w:hanging="257"/>
      </w:pPr>
      <w:rPr>
        <w:rFonts w:hint="default"/>
        <w:lang w:val="ru-RU" w:eastAsia="en-US" w:bidi="ar-SA"/>
      </w:rPr>
    </w:lvl>
    <w:lvl w:ilvl="8" w:tplc="3D9877BA">
      <w:numFmt w:val="bullet"/>
      <w:lvlText w:val="•"/>
      <w:lvlJc w:val="left"/>
      <w:pPr>
        <w:ind w:left="7598" w:hanging="2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080B"/>
    <w:rsid w:val="000A29B0"/>
    <w:rsid w:val="001D5AD1"/>
    <w:rsid w:val="004E4899"/>
    <w:rsid w:val="005F080B"/>
    <w:rsid w:val="00815B12"/>
    <w:rsid w:val="00E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721" w:right="325" w:hanging="300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2"/>
      <w:ind w:left="575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1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5A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D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721" w:right="325" w:hanging="300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72"/>
      <w:ind w:left="575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1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5A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Леонидовна</dc:creator>
  <cp:lastModifiedBy>КСП</cp:lastModifiedBy>
  <cp:revision>2</cp:revision>
  <dcterms:created xsi:type="dcterms:W3CDTF">2025-09-01T09:25:00Z</dcterms:created>
  <dcterms:modified xsi:type="dcterms:W3CDTF">2025-09-01T09:25:00Z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