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6D" w:rsidRPr="005B7059" w:rsidRDefault="005B7059" w:rsidP="005B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31AA" w:rsidRPr="00BC31AA" w:rsidRDefault="00BC31AA" w:rsidP="00670BD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экспертно-аналитического мероприятия  «Экспертиза 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подготовка заключения на отчет об исполнении бюджета 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</w:t>
      </w:r>
      <w:r w:rsidR="0085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732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рянской области за </w:t>
      </w:r>
      <w:r w:rsidR="002E6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2E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85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C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C3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3627" w:rsidRDefault="00523627" w:rsidP="0001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AA" w:rsidRPr="00087C81" w:rsidRDefault="00376F4A" w:rsidP="00376F4A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Экспертно-аналитическое мероприятие проведено в соответствии с пунктом 1.2.</w:t>
      </w:r>
      <w:r w:rsidR="00244C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плана работы Контрольно-счетной палаты </w:t>
      </w:r>
      <w:r w:rsidR="007328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F85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BC3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год.    </w:t>
      </w:r>
    </w:p>
    <w:p w:rsidR="00BC31AA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проведения: </w:t>
      </w:r>
      <w:r w:rsidR="00244CE3">
        <w:rPr>
          <w:rFonts w:ascii="Times New Roman" w:hAnsi="Times New Roman"/>
          <w:sz w:val="28"/>
          <w:szCs w:val="28"/>
          <w:lang w:eastAsia="ru-RU"/>
        </w:rPr>
        <w:t>декабрь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F85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C3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4805" w:rsidRDefault="00BC31AA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экспертно-аналитического мероприятия проанализирована динамика основных показателей исполнения бюджета муниципального образования: доходов, расходов, результатов исполнения бюджет</w:t>
      </w:r>
      <w:r w:rsidR="00C63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6550" w:rsidRDefault="00F25760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представленному администрацией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об исполнении бюджета 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</w:t>
      </w:r>
      <w:r w:rsidR="006518AE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  </w:t>
      </w:r>
      <w:r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44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32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805" w:rsidRPr="0033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F0" w:rsidRPr="003320F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Стародубского муниципального округа от </w:t>
      </w:r>
      <w:r w:rsidR="00244CE3">
        <w:rPr>
          <w:rFonts w:ascii="Times New Roman" w:hAnsi="Times New Roman" w:cs="Times New Roman"/>
          <w:sz w:val="28"/>
          <w:szCs w:val="28"/>
        </w:rPr>
        <w:t>30.10.2024г</w:t>
      </w:r>
      <w:r w:rsidR="003320F0" w:rsidRPr="003320F0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3320F0" w:rsidRPr="003320F0">
        <w:rPr>
          <w:rFonts w:ascii="Times New Roman" w:hAnsi="Times New Roman" w:cs="Times New Roman"/>
          <w:sz w:val="28"/>
          <w:szCs w:val="28"/>
        </w:rPr>
        <w:t>№</w:t>
      </w:r>
      <w:r w:rsidR="00244CE3">
        <w:rPr>
          <w:rFonts w:ascii="Times New Roman" w:hAnsi="Times New Roman" w:cs="Times New Roman"/>
          <w:sz w:val="28"/>
          <w:szCs w:val="28"/>
        </w:rPr>
        <w:t>1273</w:t>
      </w:r>
      <w:r w:rsidR="00CE4805" w:rsidRPr="00651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характеризуется следующими данными:</w:t>
      </w:r>
    </w:p>
    <w:p w:rsidR="00C36550" w:rsidRDefault="00C36550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275"/>
        <w:gridCol w:w="1134"/>
        <w:gridCol w:w="1134"/>
        <w:gridCol w:w="993"/>
        <w:gridCol w:w="1134"/>
        <w:gridCol w:w="992"/>
      </w:tblGrid>
      <w:tr w:rsidR="00C36550" w:rsidRPr="00C36550" w:rsidTr="000A67AA">
        <w:trPr>
          <w:trHeight w:val="1663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</w:t>
            </w:r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 (бюджетная роспись)2024г.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</w:t>
            </w: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нение</w:t>
            </w:r>
            <w:proofErr w:type="spellEnd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9 мес. 2023г.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</w:t>
            </w: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нение</w:t>
            </w:r>
            <w:proofErr w:type="spellEnd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9 мес.2024г.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нения к </w:t>
            </w:r>
            <w:proofErr w:type="gram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</w:t>
            </w:r>
            <w:proofErr w:type="gramEnd"/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ной бюджет</w:t>
            </w:r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ной росписи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Отно</w:t>
            </w:r>
            <w:proofErr w:type="spellEnd"/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шение</w:t>
            </w:r>
            <w:proofErr w:type="spellEnd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 мес.2024г. к 9 мес. 2023г</w:t>
            </w:r>
            <w:proofErr w:type="gram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Отно</w:t>
            </w:r>
            <w:proofErr w:type="spellEnd"/>
          </w:p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шение</w:t>
            </w:r>
            <w:proofErr w:type="spellEnd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 мес.2024г к 9 мес. 2023г., %</w:t>
            </w:r>
          </w:p>
        </w:tc>
      </w:tr>
      <w:tr w:rsidR="00C36550" w:rsidRPr="00C36550" w:rsidTr="000A67AA">
        <w:trPr>
          <w:trHeight w:val="56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всего в </w:t>
            </w:r>
            <w:proofErr w:type="spell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1608898,5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785957,9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928029,7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142071,8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C36550" w:rsidRPr="00C36550" w:rsidTr="000A67AA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C36550" w:rsidRPr="00C36550" w:rsidTr="000A67AA">
        <w:trPr>
          <w:trHeight w:val="5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634739,8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C36550" w:rsidRPr="00C36550" w:rsidTr="000A67AA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1623984,7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916243,8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C36550" w:rsidRPr="00C36550" w:rsidTr="000A67AA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-17985,9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550" w:rsidRPr="00C36550" w:rsidRDefault="00C36550" w:rsidP="00C36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954" w:rsidRDefault="00F85954" w:rsidP="00376F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38" w:rsidRPr="00852138" w:rsidRDefault="00F25760" w:rsidP="00852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60">
        <w:rPr>
          <w:rFonts w:ascii="Times New Roman" w:hAnsi="Times New Roman"/>
          <w:sz w:val="28"/>
          <w:szCs w:val="28"/>
        </w:rPr>
        <w:t> </w:t>
      </w:r>
      <w:r w:rsidR="002E02DF">
        <w:rPr>
          <w:rFonts w:ascii="Times New Roman" w:hAnsi="Times New Roman"/>
          <w:sz w:val="28"/>
          <w:szCs w:val="28"/>
        </w:rPr>
        <w:t xml:space="preserve">  </w:t>
      </w:r>
      <w:r w:rsidR="004A2532">
        <w:rPr>
          <w:rFonts w:ascii="Times New Roman" w:hAnsi="Times New Roman"/>
          <w:sz w:val="28"/>
          <w:szCs w:val="28"/>
        </w:rPr>
        <w:t xml:space="preserve">  </w:t>
      </w:r>
      <w:r w:rsidR="00852138" w:rsidRPr="0085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за 9 месяцев  2024 года утверждены в объеме 1608898,5 тыс. рублей,  исполнены в сумме 928029,7 тыс. рублей, или на 57,6%.  </w:t>
      </w:r>
    </w:p>
    <w:p w:rsidR="00852138" w:rsidRPr="00852138" w:rsidRDefault="004A2532" w:rsidP="00211E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E02DF">
        <w:rPr>
          <w:rFonts w:ascii="Times New Roman" w:hAnsi="Times New Roman"/>
          <w:sz w:val="28"/>
          <w:szCs w:val="28"/>
        </w:rPr>
        <w:t xml:space="preserve"> </w:t>
      </w:r>
      <w:r w:rsidR="00852138" w:rsidRPr="00852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за 9 месяцев 2024 года по годовой уточненной бюджетной росписи составили в сумме 1623984,7 тыс. рублей,  исполнены в сумме 916243,8 тыс. рублей, или на 55,2%.  </w:t>
      </w:r>
    </w:p>
    <w:p w:rsid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фактических расходов  отражает социальную направленность бюджета округа, определенной бюджетной и налоговой </w:t>
      </w: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политикой. Приоритет при исполнении расходов бюджета за 9 месяцев 2024 года отдавался выполнению обязательств по выплате заработной платы с начислениями, оплате коммунальных услуг, уплате налогов и других социально-значимых расходов. Наибольший удельный вес в расходах бюджета приходится на раздел 07 «Образование», за 9 месяцев 2024 года составил – 55,7%.</w:t>
      </w:r>
    </w:p>
    <w:p w:rsidR="00211EA1" w:rsidRPr="00211EA1" w:rsidRDefault="00211EA1" w:rsidP="00211E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Pr="00211EA1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аибольший удельный вес в ведомственной структуре расходов бюджета округа за 9 месяцев 2024 году занимают расходы 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образования администрации Стародубского муниципального округа Брянской области</w:t>
      </w:r>
      <w:r w:rsidRPr="00211E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211EA1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– 47,8% общего объема расходов. </w:t>
      </w:r>
      <w:proofErr w:type="gramStart"/>
      <w:r w:rsidRPr="00211EA1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На 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 Стародубского муниципального округа Брянской области</w:t>
      </w:r>
      <w:r w:rsidRPr="00211E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культуры, туризма, молодежной политики и спорта администрации Стародубского муниципального округа Брянской области</w:t>
      </w:r>
      <w:r w:rsidRPr="00211E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управление администрации Стародубского муниципального округа Брянской области</w:t>
      </w:r>
      <w:r w:rsidRPr="00211E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администрации Стародубского муниципального округа Брянской области, Совет народных депутатов Стародубского муниципального округа Брянской области </w:t>
      </w:r>
      <w:r w:rsidRPr="00211E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</w:t>
      </w: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округа Брянской области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приходится 41,8%, 8,7%, 0,6%, 0,5</w:t>
      </w:r>
      <w:proofErr w:type="gramEnd"/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0,2 % и 0,1 %</w:t>
      </w:r>
      <w:r w:rsidRPr="00211EA1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расходов бюджета соответственно.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hAnsi="Times New Roman" w:cs="Times New Roman"/>
          <w:sz w:val="28"/>
          <w:szCs w:val="28"/>
        </w:rPr>
        <w:t>Общая сумма расходов по муниципальным программам утверждена с учетом изменений в размере 1636605,8 тыс. рублей, что составляет 98,7% от общего объема расходов запланированных на 2024 год</w:t>
      </w:r>
      <w:r w:rsidRPr="00211EA1">
        <w:rPr>
          <w:rFonts w:ascii="Times New Roman" w:hAnsi="Times New Roman" w:cs="Times New Roman"/>
          <w:sz w:val="28"/>
          <w:szCs w:val="28"/>
        </w:rPr>
        <w:t>.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1EA1">
        <w:rPr>
          <w:rFonts w:ascii="Times New Roman" w:hAnsi="Times New Roman" w:cs="Times New Roman"/>
          <w:sz w:val="28"/>
          <w:szCs w:val="28"/>
        </w:rPr>
        <w:t>За 9 месяцев 2024 года  кассовое исполнение по муниципальным программам составило 898840,7 тыс. рублей, или 54,9% от уточненной бюджетной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01 октября 2024  года в местном бюджете предусмотрены бюджетные ассигнования на реализацию 7 национальных проектов в рамках региональных проектов с общим объемом финансирования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366528,5</w:t>
      </w:r>
      <w:r w:rsidRPr="0021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</w:t>
      </w:r>
      <w:r w:rsidRPr="00211E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отмечено, что за 9 месяцев 2024 года исполнение составило только 23,3% (84823,6 тыс. рублей) от плановых установок.</w:t>
      </w:r>
    </w:p>
    <w:p w:rsidR="00211EA1" w:rsidRPr="00211EA1" w:rsidRDefault="00211EA1" w:rsidP="0021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уровне исполнения кассовых расходов по региональным проектам за 9 месяцев 2024 года представлена в таблице.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985"/>
        <w:gridCol w:w="567"/>
        <w:gridCol w:w="1417"/>
        <w:gridCol w:w="1134"/>
        <w:gridCol w:w="817"/>
      </w:tblGrid>
      <w:tr w:rsidR="00211EA1" w:rsidRPr="00211EA1" w:rsidTr="000A67AA">
        <w:trPr>
          <w:trHeight w:val="1305"/>
        </w:trPr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sz w:val="18"/>
                <w:szCs w:val="18"/>
              </w:rPr>
              <w:t>КВСР</w:t>
            </w: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Наименование регионального проекта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Утверждено сводной бюджетной росписью на 2024 год, тыс. рублей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Кассовое исполнение за 9 мес.2024 года, тыс. рублей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211EA1">
              <w:rPr>
                <w:b/>
                <w:bCs/>
                <w:sz w:val="18"/>
                <w:szCs w:val="18"/>
              </w:rPr>
              <w:t>испол</w:t>
            </w:r>
            <w:proofErr w:type="spellEnd"/>
            <w:r w:rsidRPr="00211EA1">
              <w:rPr>
                <w:b/>
                <w:bCs/>
                <w:sz w:val="18"/>
                <w:szCs w:val="18"/>
              </w:rPr>
              <w:t>-нения</w:t>
            </w:r>
            <w:proofErr w:type="gramEnd"/>
            <w:r w:rsidRPr="00211EA1">
              <w:rPr>
                <w:b/>
                <w:bCs/>
                <w:sz w:val="18"/>
                <w:szCs w:val="18"/>
              </w:rPr>
              <w:t>,%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211EA1">
              <w:rPr>
                <w:bCs/>
                <w:sz w:val="18"/>
                <w:szCs w:val="18"/>
              </w:rPr>
              <w:t>Администрация Стародубского муниципального округа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11EA1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 xml:space="preserve">Формирование комфортной </w:t>
            </w:r>
            <w:r w:rsidRPr="00211EA1">
              <w:rPr>
                <w:bCs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  <w:lang w:val="en-US"/>
              </w:rPr>
              <w:lastRenderedPageBreak/>
              <w:t>F</w:t>
            </w:r>
            <w:r w:rsidRPr="00211EA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107025,7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40336,1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37,6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Чистая вода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  <w:r w:rsidRPr="00211EA1">
              <w:rPr>
                <w:bCs/>
                <w:sz w:val="24"/>
                <w:szCs w:val="24"/>
                <w:lang w:val="en-US"/>
              </w:rPr>
              <w:t>F</w:t>
            </w:r>
            <w:r w:rsidRPr="00211EA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28233,6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3949,4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13,9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Спорт-норма жизни (Брянская область)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  <w:lang w:val="en-US"/>
              </w:rPr>
              <w:t>P5</w:t>
            </w: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216670,4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31451,5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14,5</w:t>
            </w:r>
          </w:p>
        </w:tc>
      </w:tr>
      <w:tr w:rsidR="00211EA1" w:rsidRPr="00211EA1" w:rsidTr="000A67AA">
        <w:trPr>
          <w:trHeight w:val="238"/>
        </w:trPr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ИТОГО по 901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351929,7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75737,0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21,5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18"/>
                <w:szCs w:val="18"/>
              </w:rPr>
            </w:pPr>
            <w:r w:rsidRPr="00211EA1">
              <w:rPr>
                <w:sz w:val="18"/>
                <w:szCs w:val="18"/>
              </w:rPr>
              <w:t>Отдел культуры, туризма, молодежной политики и спорта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Культурная среда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А</w:t>
            </w:r>
            <w:proofErr w:type="gramStart"/>
            <w:r w:rsidRPr="00211EA1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6078,7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6078,7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100,0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ИТОГО по 906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6078,7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 xml:space="preserve"> 6078,7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 xml:space="preserve"> 100,0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211EA1">
              <w:rPr>
                <w:bCs/>
                <w:sz w:val="18"/>
                <w:szCs w:val="18"/>
              </w:rPr>
              <w:t>Отдел образования администрации Стародубского муниципального округа Брянской области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Патриотическое воспитание граждан Российской Федерации (Брянская область)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  <w:lang w:val="en-US"/>
              </w:rPr>
              <w:t>EB</w:t>
            </w: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2783,6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1955,8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70,2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Цифровая образовательная среда (Брянская область)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  <w:lang w:val="en-US"/>
              </w:rPr>
              <w:t>E</w:t>
            </w:r>
            <w:r w:rsidRPr="00211EA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797,5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0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Современная школа (Брянская область)</w:t>
            </w: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  <w:r w:rsidRPr="00211EA1">
              <w:rPr>
                <w:bCs/>
                <w:sz w:val="24"/>
                <w:szCs w:val="24"/>
                <w:lang w:val="en-US"/>
              </w:rPr>
              <w:t>E</w:t>
            </w:r>
            <w:r w:rsidRPr="00211EA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1081,1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1052,1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211EA1">
              <w:rPr>
                <w:bCs/>
                <w:sz w:val="24"/>
                <w:szCs w:val="24"/>
              </w:rPr>
              <w:t>97,3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211EA1">
              <w:rPr>
                <w:b/>
                <w:bCs/>
                <w:sz w:val="18"/>
                <w:szCs w:val="18"/>
              </w:rPr>
              <w:t>ИТОГО по 903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4662,2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3007,9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64,5</w:t>
            </w:r>
          </w:p>
        </w:tc>
      </w:tr>
      <w:tr w:rsidR="00211EA1" w:rsidRPr="00211EA1" w:rsidTr="000A67AA">
        <w:tc>
          <w:tcPr>
            <w:tcW w:w="2943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</w:rPr>
            </w:pPr>
            <w:r w:rsidRPr="00211EA1">
              <w:rPr>
                <w:b/>
                <w:bCs/>
              </w:rPr>
              <w:t>ВСЕГО</w:t>
            </w:r>
          </w:p>
        </w:tc>
        <w:tc>
          <w:tcPr>
            <w:tcW w:w="709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EA1" w:rsidRPr="00211EA1" w:rsidRDefault="00211EA1" w:rsidP="00211EA1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362670,6</w:t>
            </w:r>
          </w:p>
        </w:tc>
        <w:tc>
          <w:tcPr>
            <w:tcW w:w="1134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84823,6</w:t>
            </w:r>
          </w:p>
        </w:tc>
        <w:tc>
          <w:tcPr>
            <w:tcW w:w="817" w:type="dxa"/>
          </w:tcPr>
          <w:p w:rsidR="00211EA1" w:rsidRPr="00211EA1" w:rsidRDefault="00211EA1" w:rsidP="00211EA1">
            <w:pPr>
              <w:spacing w:after="200"/>
              <w:jc w:val="both"/>
              <w:rPr>
                <w:b/>
                <w:bCs/>
                <w:sz w:val="24"/>
                <w:szCs w:val="24"/>
              </w:rPr>
            </w:pPr>
            <w:r w:rsidRPr="00211EA1">
              <w:rPr>
                <w:b/>
                <w:bCs/>
                <w:sz w:val="24"/>
                <w:szCs w:val="24"/>
              </w:rPr>
              <w:t>23,3</w:t>
            </w:r>
          </w:p>
        </w:tc>
      </w:tr>
    </w:tbl>
    <w:p w:rsidR="00B94A49" w:rsidRPr="00B94A49" w:rsidRDefault="00B94A49" w:rsidP="00B94A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комфортной городской среды»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 бюджетные ассигнования в объеме 107025,6 тыс. рублей на осуществление благоустройства дворовых территорий и реконструкции сквера «40 лет Победы». В течение 9 месяцев  2024 года кассовые расходы составили 40336,1 тыс. рублей, или 37,6% от уточненной бюджетной росписи. Главным администратором расходов является администрация Стародубского муниципального округа.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 регионального проекта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«Культурная среда»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осуществляться мероприятия по развитию сети учреждений культурно-досугового типа. За 9 месяцев 2024 года кассовые расходы  исполнены в объеме 6078,7 тыс. рублей, или 100% от уточненной бюджетной росписи. Главным администратором расходов является отдел </w:t>
      </w: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</w:t>
      </w: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туризма, молодежной политики и спорта администрации Стародубского муниципального округа Брянской области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«Патриотическое воспитание граждан Российской Федерации (Брянская область)»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осуществлялось финансирование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За 9 месяцев 2024 года расходы составили 1955,8 тыс. рублей, или 70,2% плановых назначений (2783,6 тыс. рублей). Главным администратором расходов является отдел </w:t>
      </w:r>
      <w:r w:rsidRPr="0021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Стародубского муниципального округа Брянской области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«Чистая вода»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«Развитие топливно-энергетического комплекса и жилищно-коммунального хозяйства Брянской области» предусмотрены бюджетные ассигнования в объеме 28233,6 тыс. рублей на строительство водозаборного сооружения в </w:t>
      </w:r>
      <w:proofErr w:type="spellStart"/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ятовск</w:t>
      </w:r>
      <w:proofErr w:type="spellEnd"/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реконструкции системы водоснабжения. В течение 9 месяцев 2024 года кассовые расходы составили 3949,4 тыс. рублей, или 13,9% плановых назначений. Главным администратором расходов является администрация Стародубского муниципального округа.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«Современная школа (Брянская область)» 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«Развитие образования и науки Брянской области» на приведение в соответствие с </w:t>
      </w:r>
      <w:proofErr w:type="spellStart"/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брендбуком</w:t>
      </w:r>
      <w:proofErr w:type="spellEnd"/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«Точка роста» предусмотрены бюджетные ассигнования в объеме 1081,1 тыс. рублей. За 9 месяцев 2024 года кассовые расходы составили 1052,1 тыс. рублей, или 97,3% плановых назначений. Главным администратором расходов является отдел образования администрация Стародубского муниципального округа.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«Цифровая образовательная среда (Брянская область)» 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«Развитие образования и науки Брянской области» на создание цифровой образовательной среды в общеобразовательных организациях предусмотрены бюджетные ассигнования в объеме 797,5 тыс. рублей. </w:t>
      </w:r>
      <w:r w:rsidRPr="00211E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Контрольно-счетная палата обращает внимание, что в течение 9 месяцев 2024 года кассовые расходы не осуществлялись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Главным администратором расходов является отдел образования администрация Стародубского муниципального округа.</w:t>
      </w:r>
    </w:p>
    <w:p w:rsidR="00211EA1" w:rsidRPr="00211EA1" w:rsidRDefault="00211EA1" w:rsidP="00211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21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«Спорт-норма жизни (Брянская область)»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«Развитие физической </w:t>
      </w:r>
      <w:r w:rsidRPr="0021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культуры и спорта Брянской области» на строительство (реконструкцию) объектов спорта предусмотрены бюджетные ассигнования в объеме 216670,4  тыс. рублей. За 9 месяцев 2024 года кассовые расходы осуществлены в объеме 31451,5 тыс. рублей, или 14,5% плановых назначений. Главным администратором расходов является администрация Стародубского муниципального округа.</w:t>
      </w:r>
    </w:p>
    <w:p w:rsidR="004A2532" w:rsidRPr="004A2532" w:rsidRDefault="00B94A49" w:rsidP="004A25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49">
        <w:rPr>
          <w:rFonts w:ascii="Times New Roman" w:hAnsi="Times New Roman" w:cs="Times New Roman"/>
          <w:sz w:val="28"/>
          <w:szCs w:val="28"/>
        </w:rPr>
        <w:t>Решением о бюджете (с учетом изменений), прогнозируемый дефицит бюджета был утверждён в сумме 15086,2 тыс. рублей</w:t>
      </w:r>
      <w:r w:rsidR="004A2532" w:rsidRPr="00B94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532" w:rsidRPr="004A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этом, утвержден перечень главных </w:t>
      </w:r>
      <w:proofErr w:type="gramStart"/>
      <w:r w:rsidR="004A2532" w:rsidRPr="004A2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="004A2532" w:rsidRPr="004A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источники финансирования дефицита бюджета - изменение остатков на счетах по учету средств бюджета;</w:t>
      </w:r>
    </w:p>
    <w:p w:rsidR="004A2532" w:rsidRPr="004A2532" w:rsidRDefault="004A2532" w:rsidP="004A25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4A2532" w:rsidRPr="004A2532" w:rsidRDefault="00211EA1" w:rsidP="004A25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A1">
        <w:rPr>
          <w:rFonts w:ascii="Times New Roman" w:hAnsi="Times New Roman" w:cs="Times New Roman"/>
          <w:sz w:val="28"/>
          <w:szCs w:val="28"/>
        </w:rPr>
        <w:t>В соответствии с отчётом об исполнении бюджета за 9 месяцев 2024г. бюджет исполнен с профицитом в объёме 11785,8 тыс. рублей</w:t>
      </w:r>
      <w:r w:rsidR="004A2532" w:rsidRPr="004A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8AE" w:rsidRPr="006518AE" w:rsidRDefault="002E02DF" w:rsidP="002E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3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Проведенным экспертно-аналитическим мероприятием 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>«Экспертиза и подготовка заключения на отчет об исполнении бюджета Стародубского муниципально</w:t>
      </w:r>
      <w:r w:rsidR="00211EA1">
        <w:rPr>
          <w:rFonts w:ascii="Times New Roman" w:hAnsi="Times New Roman" w:cs="Times New Roman"/>
          <w:b/>
          <w:sz w:val="28"/>
          <w:szCs w:val="28"/>
        </w:rPr>
        <w:t xml:space="preserve">го округа Брянской области за 9 месяцев 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>202</w:t>
      </w:r>
      <w:r w:rsidR="00B94A49">
        <w:rPr>
          <w:rFonts w:ascii="Times New Roman" w:hAnsi="Times New Roman" w:cs="Times New Roman"/>
          <w:b/>
          <w:sz w:val="28"/>
          <w:szCs w:val="28"/>
        </w:rPr>
        <w:t>4</w:t>
      </w:r>
      <w:r w:rsidR="006518AE" w:rsidRPr="006518AE">
        <w:rPr>
          <w:rFonts w:ascii="Times New Roman" w:hAnsi="Times New Roman" w:cs="Times New Roman"/>
          <w:b/>
          <w:sz w:val="28"/>
          <w:szCs w:val="28"/>
        </w:rPr>
        <w:t xml:space="preserve"> года» </w:t>
      </w:r>
      <w:r w:rsidR="006518AE" w:rsidRPr="006518AE">
        <w:rPr>
          <w:rFonts w:ascii="Times New Roman" w:hAnsi="Times New Roman" w:cs="Times New Roman"/>
          <w:sz w:val="28"/>
          <w:szCs w:val="28"/>
        </w:rPr>
        <w:t>позволяет сделать вывод о том, что  отчет подготовлен в рамках полномочий администрации Стародубского муниципального округа Брянской области и не противоречит действующему законодательству и муниципальным правовым актам Стародубского муниципального округа, а также удовлетворяет требованиям полноты отражения средств бюджета по</w:t>
      </w:r>
      <w:proofErr w:type="gramEnd"/>
      <w:r w:rsidR="006518AE" w:rsidRPr="006518AE">
        <w:rPr>
          <w:rFonts w:ascii="Times New Roman" w:hAnsi="Times New Roman" w:cs="Times New Roman"/>
          <w:sz w:val="28"/>
          <w:szCs w:val="28"/>
        </w:rPr>
        <w:t xml:space="preserve"> доходам, расходам и источникам финансирования дефицита бюджета.</w:t>
      </w:r>
    </w:p>
    <w:p w:rsidR="00BC31AA" w:rsidRDefault="00BC31AA" w:rsidP="00BC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EE" w:rsidRDefault="00C222EE" w:rsidP="00E70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FF3" w:rsidRDefault="00515FF3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515FF3" w:rsidRPr="002808DF" w:rsidRDefault="00F25760" w:rsidP="0051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муниципального округа</w:t>
      </w:r>
      <w:r w:rsidR="006518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6F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Н.А.Сусло</w:t>
      </w:r>
      <w:proofErr w:type="spellEnd"/>
    </w:p>
    <w:sectPr w:rsidR="00515FF3" w:rsidRPr="002808DF" w:rsidSect="00AF59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36" w:rsidRDefault="00703136" w:rsidP="00AF5987">
      <w:pPr>
        <w:spacing w:after="0" w:line="240" w:lineRule="auto"/>
      </w:pPr>
      <w:r>
        <w:separator/>
      </w:r>
    </w:p>
  </w:endnote>
  <w:endnote w:type="continuationSeparator" w:id="0">
    <w:p w:rsidR="00703136" w:rsidRDefault="00703136" w:rsidP="00AF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36" w:rsidRDefault="00703136" w:rsidP="00AF5987">
      <w:pPr>
        <w:spacing w:after="0" w:line="240" w:lineRule="auto"/>
      </w:pPr>
      <w:r>
        <w:separator/>
      </w:r>
    </w:p>
  </w:footnote>
  <w:footnote w:type="continuationSeparator" w:id="0">
    <w:p w:rsidR="00703136" w:rsidRDefault="00703136" w:rsidP="00AF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22925"/>
      <w:docPartObj>
        <w:docPartGallery w:val="Page Numbers (Top of Page)"/>
        <w:docPartUnique/>
      </w:docPartObj>
    </w:sdtPr>
    <w:sdtEndPr/>
    <w:sdtContent>
      <w:p w:rsidR="00AF5987" w:rsidRDefault="00EB578F">
        <w:pPr>
          <w:pStyle w:val="a7"/>
          <w:jc w:val="center"/>
        </w:pPr>
        <w:r>
          <w:fldChar w:fldCharType="begin"/>
        </w:r>
        <w:r w:rsidR="00AF5987">
          <w:instrText>PAGE   \* MERGEFORMAT</w:instrText>
        </w:r>
        <w:r>
          <w:fldChar w:fldCharType="separate"/>
        </w:r>
        <w:r w:rsidR="00211EA1">
          <w:rPr>
            <w:noProof/>
          </w:rPr>
          <w:t>5</w:t>
        </w:r>
        <w:r>
          <w:fldChar w:fldCharType="end"/>
        </w:r>
      </w:p>
    </w:sdtContent>
  </w:sdt>
  <w:p w:rsidR="00AF5987" w:rsidRDefault="00AF59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637"/>
    <w:multiLevelType w:val="multilevel"/>
    <w:tmpl w:val="CD3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6F9"/>
    <w:multiLevelType w:val="multilevel"/>
    <w:tmpl w:val="94A61A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28D2"/>
    <w:multiLevelType w:val="multilevel"/>
    <w:tmpl w:val="97F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A6284"/>
    <w:multiLevelType w:val="hybridMultilevel"/>
    <w:tmpl w:val="97A29390"/>
    <w:lvl w:ilvl="0" w:tplc="2E2837E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A168B9"/>
    <w:multiLevelType w:val="multilevel"/>
    <w:tmpl w:val="8FD8B8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4753"/>
    <w:multiLevelType w:val="multilevel"/>
    <w:tmpl w:val="F97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03983"/>
    <w:multiLevelType w:val="multilevel"/>
    <w:tmpl w:val="100CD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76861"/>
    <w:multiLevelType w:val="multilevel"/>
    <w:tmpl w:val="28989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2150A"/>
    <w:multiLevelType w:val="multilevel"/>
    <w:tmpl w:val="98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25612"/>
    <w:multiLevelType w:val="multilevel"/>
    <w:tmpl w:val="543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74F77"/>
    <w:multiLevelType w:val="multilevel"/>
    <w:tmpl w:val="8F60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B4B94"/>
    <w:multiLevelType w:val="hybridMultilevel"/>
    <w:tmpl w:val="2F1EE19A"/>
    <w:lvl w:ilvl="0" w:tplc="5A803ECA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020303"/>
    <w:multiLevelType w:val="multilevel"/>
    <w:tmpl w:val="838A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C6D1F"/>
    <w:multiLevelType w:val="multilevel"/>
    <w:tmpl w:val="358A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876F2"/>
    <w:multiLevelType w:val="multilevel"/>
    <w:tmpl w:val="C9F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37539"/>
    <w:multiLevelType w:val="hybridMultilevel"/>
    <w:tmpl w:val="A1245FDC"/>
    <w:lvl w:ilvl="0" w:tplc="E952A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55737534"/>
    <w:multiLevelType w:val="hybridMultilevel"/>
    <w:tmpl w:val="E96A2948"/>
    <w:lvl w:ilvl="0" w:tplc="F1A6FD96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E00382"/>
    <w:multiLevelType w:val="multilevel"/>
    <w:tmpl w:val="9FB45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C154D"/>
    <w:multiLevelType w:val="multilevel"/>
    <w:tmpl w:val="A26EB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B5D17"/>
    <w:multiLevelType w:val="multilevel"/>
    <w:tmpl w:val="8CF6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7"/>
  </w:num>
  <w:num w:numId="18">
    <w:abstractNumId w:val="1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59"/>
    <w:rsid w:val="00014CAA"/>
    <w:rsid w:val="000178D7"/>
    <w:rsid w:val="0002562F"/>
    <w:rsid w:val="00026709"/>
    <w:rsid w:val="0005014A"/>
    <w:rsid w:val="000551B5"/>
    <w:rsid w:val="00057B97"/>
    <w:rsid w:val="0006725C"/>
    <w:rsid w:val="000763CC"/>
    <w:rsid w:val="00080156"/>
    <w:rsid w:val="00087C81"/>
    <w:rsid w:val="00095523"/>
    <w:rsid w:val="00097F4F"/>
    <w:rsid w:val="000B0E3D"/>
    <w:rsid w:val="000C6EC5"/>
    <w:rsid w:val="00104F6F"/>
    <w:rsid w:val="00112461"/>
    <w:rsid w:val="00112742"/>
    <w:rsid w:val="00120454"/>
    <w:rsid w:val="00137526"/>
    <w:rsid w:val="001523DA"/>
    <w:rsid w:val="001612B4"/>
    <w:rsid w:val="00186914"/>
    <w:rsid w:val="00193BC7"/>
    <w:rsid w:val="001A6E88"/>
    <w:rsid w:val="001C74D5"/>
    <w:rsid w:val="00211EA1"/>
    <w:rsid w:val="00212E9E"/>
    <w:rsid w:val="00217A6A"/>
    <w:rsid w:val="00237468"/>
    <w:rsid w:val="0024270E"/>
    <w:rsid w:val="00244CE3"/>
    <w:rsid w:val="002766B7"/>
    <w:rsid w:val="002808DF"/>
    <w:rsid w:val="002C16DA"/>
    <w:rsid w:val="002D73C7"/>
    <w:rsid w:val="002E02DF"/>
    <w:rsid w:val="002E6BFF"/>
    <w:rsid w:val="002F1539"/>
    <w:rsid w:val="002F3C9E"/>
    <w:rsid w:val="00302D77"/>
    <w:rsid w:val="003320F0"/>
    <w:rsid w:val="0035794B"/>
    <w:rsid w:val="00376F4A"/>
    <w:rsid w:val="00383AC4"/>
    <w:rsid w:val="003953A8"/>
    <w:rsid w:val="003C7421"/>
    <w:rsid w:val="0040765C"/>
    <w:rsid w:val="00426EAA"/>
    <w:rsid w:val="004277F5"/>
    <w:rsid w:val="004351B4"/>
    <w:rsid w:val="0044327D"/>
    <w:rsid w:val="004628A4"/>
    <w:rsid w:val="00467497"/>
    <w:rsid w:val="004714F3"/>
    <w:rsid w:val="00475C73"/>
    <w:rsid w:val="0047766C"/>
    <w:rsid w:val="004806FD"/>
    <w:rsid w:val="00480836"/>
    <w:rsid w:val="00486B66"/>
    <w:rsid w:val="00490B2B"/>
    <w:rsid w:val="004A01D4"/>
    <w:rsid w:val="004A2532"/>
    <w:rsid w:val="004B6314"/>
    <w:rsid w:val="00514DE1"/>
    <w:rsid w:val="00515FF3"/>
    <w:rsid w:val="00523627"/>
    <w:rsid w:val="00542858"/>
    <w:rsid w:val="00590A91"/>
    <w:rsid w:val="005B7059"/>
    <w:rsid w:val="005E2257"/>
    <w:rsid w:val="005E4B3F"/>
    <w:rsid w:val="006070B8"/>
    <w:rsid w:val="00646122"/>
    <w:rsid w:val="006511DC"/>
    <w:rsid w:val="006518AE"/>
    <w:rsid w:val="00670BD5"/>
    <w:rsid w:val="006B6402"/>
    <w:rsid w:val="00703136"/>
    <w:rsid w:val="00705288"/>
    <w:rsid w:val="00732895"/>
    <w:rsid w:val="00735ABF"/>
    <w:rsid w:val="00763528"/>
    <w:rsid w:val="00765574"/>
    <w:rsid w:val="00771606"/>
    <w:rsid w:val="00774CCA"/>
    <w:rsid w:val="007A41CB"/>
    <w:rsid w:val="007D53DD"/>
    <w:rsid w:val="007D78A1"/>
    <w:rsid w:val="00823ED4"/>
    <w:rsid w:val="008241CD"/>
    <w:rsid w:val="008433BF"/>
    <w:rsid w:val="008472E6"/>
    <w:rsid w:val="008513ED"/>
    <w:rsid w:val="00852138"/>
    <w:rsid w:val="0087185C"/>
    <w:rsid w:val="0088116E"/>
    <w:rsid w:val="00881E22"/>
    <w:rsid w:val="008C3D39"/>
    <w:rsid w:val="008D5B41"/>
    <w:rsid w:val="008E4226"/>
    <w:rsid w:val="008F4B23"/>
    <w:rsid w:val="009030C1"/>
    <w:rsid w:val="00904584"/>
    <w:rsid w:val="009370C8"/>
    <w:rsid w:val="00946148"/>
    <w:rsid w:val="009468B9"/>
    <w:rsid w:val="009776C8"/>
    <w:rsid w:val="00983D36"/>
    <w:rsid w:val="0099143D"/>
    <w:rsid w:val="009B6077"/>
    <w:rsid w:val="009C5BCE"/>
    <w:rsid w:val="00A17AE3"/>
    <w:rsid w:val="00A809DB"/>
    <w:rsid w:val="00AB7C81"/>
    <w:rsid w:val="00AC1A23"/>
    <w:rsid w:val="00AC6EE2"/>
    <w:rsid w:val="00AE3750"/>
    <w:rsid w:val="00AF5987"/>
    <w:rsid w:val="00B05403"/>
    <w:rsid w:val="00B94A49"/>
    <w:rsid w:val="00B95D6C"/>
    <w:rsid w:val="00BC31AA"/>
    <w:rsid w:val="00BC5D6C"/>
    <w:rsid w:val="00BC74D8"/>
    <w:rsid w:val="00C222EE"/>
    <w:rsid w:val="00C36550"/>
    <w:rsid w:val="00C46CB5"/>
    <w:rsid w:val="00C63C77"/>
    <w:rsid w:val="00C85384"/>
    <w:rsid w:val="00C92B03"/>
    <w:rsid w:val="00CC4F7D"/>
    <w:rsid w:val="00CC7FF4"/>
    <w:rsid w:val="00CE4805"/>
    <w:rsid w:val="00CE54C8"/>
    <w:rsid w:val="00D02DE5"/>
    <w:rsid w:val="00D16467"/>
    <w:rsid w:val="00D24EC3"/>
    <w:rsid w:val="00D64028"/>
    <w:rsid w:val="00D811E3"/>
    <w:rsid w:val="00DA15DA"/>
    <w:rsid w:val="00DB5D49"/>
    <w:rsid w:val="00DB7632"/>
    <w:rsid w:val="00DE679C"/>
    <w:rsid w:val="00E0507F"/>
    <w:rsid w:val="00E15DF8"/>
    <w:rsid w:val="00E2035B"/>
    <w:rsid w:val="00E3637D"/>
    <w:rsid w:val="00E44CC8"/>
    <w:rsid w:val="00E61883"/>
    <w:rsid w:val="00E63B91"/>
    <w:rsid w:val="00E70CA7"/>
    <w:rsid w:val="00E710CF"/>
    <w:rsid w:val="00E7174E"/>
    <w:rsid w:val="00EA47A7"/>
    <w:rsid w:val="00EB578F"/>
    <w:rsid w:val="00F049E3"/>
    <w:rsid w:val="00F04DD4"/>
    <w:rsid w:val="00F25760"/>
    <w:rsid w:val="00F44D68"/>
    <w:rsid w:val="00F64ECC"/>
    <w:rsid w:val="00F775EE"/>
    <w:rsid w:val="00F85954"/>
    <w:rsid w:val="00F92A15"/>
    <w:rsid w:val="00FB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4A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B9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21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584"/>
    <w:pPr>
      <w:ind w:left="720"/>
      <w:contextualSpacing/>
    </w:pPr>
  </w:style>
  <w:style w:type="paragraph" w:customStyle="1" w:styleId="1">
    <w:name w:val="Знак Знак Знак Знак1 Знак Знак"/>
    <w:basedOn w:val="a"/>
    <w:rsid w:val="00057B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1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987"/>
  </w:style>
  <w:style w:type="paragraph" w:styleId="a9">
    <w:name w:val="footer"/>
    <w:basedOn w:val="a"/>
    <w:link w:val="aa"/>
    <w:uiPriority w:val="99"/>
    <w:unhideWhenUsed/>
    <w:rsid w:val="00AF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987"/>
  </w:style>
  <w:style w:type="character" w:customStyle="1" w:styleId="30">
    <w:name w:val="Заголовок 3 Знак"/>
    <w:basedOn w:val="a0"/>
    <w:link w:val="3"/>
    <w:uiPriority w:val="9"/>
    <w:rsid w:val="00CE4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4805"/>
  </w:style>
  <w:style w:type="paragraph" w:styleId="ab">
    <w:name w:val="Normal (Web)"/>
    <w:basedOn w:val="a"/>
    <w:uiPriority w:val="99"/>
    <w:unhideWhenUsed/>
    <w:rsid w:val="00C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4805"/>
    <w:rPr>
      <w:b/>
      <w:bCs/>
    </w:rPr>
  </w:style>
  <w:style w:type="character" w:styleId="ad">
    <w:name w:val="Emphasis"/>
    <w:basedOn w:val="a0"/>
    <w:uiPriority w:val="20"/>
    <w:qFormat/>
    <w:rsid w:val="00CE4805"/>
    <w:rPr>
      <w:i/>
      <w:iCs/>
    </w:rPr>
  </w:style>
  <w:style w:type="character" w:styleId="ae">
    <w:name w:val="Hyperlink"/>
    <w:basedOn w:val="a0"/>
    <w:uiPriority w:val="99"/>
    <w:semiHidden/>
    <w:unhideWhenUsed/>
    <w:rsid w:val="00CE480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4805"/>
    <w:rPr>
      <w:color w:val="8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D811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11E3"/>
    <w:rPr>
      <w:i/>
      <w:iCs/>
      <w:color w:val="000000" w:themeColor="text1"/>
    </w:rPr>
  </w:style>
  <w:style w:type="table" w:customStyle="1" w:styleId="11">
    <w:name w:val="Сетка таблицы1"/>
    <w:basedOn w:val="a1"/>
    <w:next w:val="a3"/>
    <w:rsid w:val="007D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4A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B9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21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9050">
                  <w:marLeft w:val="0"/>
                  <w:marRight w:val="0"/>
                  <w:marTop w:val="0"/>
                  <w:marBottom w:val="30"/>
                  <w:divBdr>
                    <w:top w:val="single" w:sz="18" w:space="5" w:color="1B517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91A9-28BA-4E4B-941E-AC97D470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9</cp:revision>
  <cp:lastPrinted>2022-06-23T07:41:00Z</cp:lastPrinted>
  <dcterms:created xsi:type="dcterms:W3CDTF">2023-09-06T14:27:00Z</dcterms:created>
  <dcterms:modified xsi:type="dcterms:W3CDTF">2025-01-22T12:01:00Z</dcterms:modified>
</cp:coreProperties>
</file>