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2" w:rsidRDefault="00157C71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57C71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71" w:rsidRPr="00337C71" w:rsidRDefault="00157C71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30542" w:rsidRPr="00337C71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30542" w:rsidRPr="00337C71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230542" w:rsidRPr="00337C71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230542" w:rsidRPr="00337C71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0542" w:rsidRPr="00337C71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30542" w:rsidRPr="00337C71" w:rsidRDefault="00230542" w:rsidP="0023054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0542" w:rsidRPr="00337C71" w:rsidRDefault="00230542" w:rsidP="002305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E037E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25.10.2023</w:t>
      </w: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 №</w:t>
      </w:r>
      <w:r w:rsidR="006E037E">
        <w:rPr>
          <w:rFonts w:ascii="Times New Roman" w:eastAsia="Times New Roman" w:hAnsi="Times New Roman" w:cs="Times New Roman"/>
          <w:sz w:val="26"/>
          <w:szCs w:val="26"/>
          <w:lang w:eastAsia="ru-RU"/>
        </w:rPr>
        <w:t>378</w:t>
      </w:r>
    </w:p>
    <w:p w:rsidR="00230542" w:rsidRPr="00337C71" w:rsidRDefault="00230542" w:rsidP="002305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C7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230542" w:rsidRPr="00337C71" w:rsidRDefault="00230542" w:rsidP="0023054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37C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30542" w:rsidRPr="00CE1DBF" w:rsidRDefault="00230542" w:rsidP="00230542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15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C65B3">
        <w:fldChar w:fldCharType="begin"/>
      </w:r>
      <w:r w:rsidR="009C65B3">
        <w:instrText>HYPERLINK "https://docs.cntd.ru/document/608263923" \l "7DA0K6"</w:instrText>
      </w:r>
      <w:r w:rsidR="009C65B3">
        <w:fldChar w:fldCharType="separate"/>
      </w:r>
      <w:r w:rsidRPr="00CE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индикаторов риска нарушения обязательных требований при осуществлении </w:t>
      </w:r>
      <w:r w:rsidR="009C65B3">
        <w:fldChar w:fldCharType="end"/>
      </w:r>
      <w:r w:rsidRPr="00CE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на территории Стародубского муниципального округа Брянской области </w:t>
      </w:r>
    </w:p>
    <w:p w:rsidR="00230542" w:rsidRDefault="00230542" w:rsidP="00230542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542" w:rsidRDefault="00230542" w:rsidP="00230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mallCaps/>
          <w:sz w:val="28"/>
          <w:szCs w:val="32"/>
        </w:rPr>
      </w:pPr>
      <w:proofErr w:type="gramStart"/>
      <w:r w:rsidRPr="00560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17.1 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10 статьи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337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Совет народных депутатов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C43912">
        <w:rPr>
          <w:rFonts w:ascii="Times New Roman" w:eastAsia="Calibri" w:hAnsi="Times New Roman" w:cs="Times New Roman"/>
          <w:smallCaps/>
          <w:sz w:val="28"/>
          <w:szCs w:val="32"/>
        </w:rPr>
        <w:t>:</w:t>
      </w:r>
      <w:proofErr w:type="gramEnd"/>
    </w:p>
    <w:p w:rsidR="00230542" w:rsidRPr="00C95439" w:rsidRDefault="00230542" w:rsidP="00230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542" w:rsidRPr="00CE1DBF" w:rsidRDefault="00230542" w:rsidP="0023054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57C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52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индикаторов риска нарушения обязательных требований при осуществлении</w:t>
      </w:r>
      <w:r w:rsidRPr="00CE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на территории Стародубского муниципального округа Брянской области (приложение №1).</w:t>
      </w:r>
    </w:p>
    <w:p w:rsidR="00230542" w:rsidRPr="00354765" w:rsidRDefault="00230542" w:rsidP="002305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E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542" w:rsidRDefault="00230542" w:rsidP="0023054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42" w:rsidRDefault="00230542" w:rsidP="0023054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542" w:rsidRDefault="00230542" w:rsidP="0023054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230542" w:rsidRDefault="00230542" w:rsidP="0023054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30542" w:rsidRPr="009456D2" w:rsidRDefault="00230542" w:rsidP="00230542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230542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B9A" w:rsidRDefault="00A01B9A" w:rsidP="00230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eastAsia="ru-RU"/>
        </w:rPr>
      </w:pPr>
    </w:p>
    <w:p w:rsidR="00230542" w:rsidRPr="00415D97" w:rsidRDefault="00230542" w:rsidP="00230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415D97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eastAsia="ru-RU"/>
        </w:rPr>
        <w:t>№</w:t>
      </w:r>
      <w:r w:rsidRPr="00415D97">
        <w:rPr>
          <w:rFonts w:ascii="Times New Roman" w:eastAsia="Times New Roman" w:hAnsi="Times New Roman" w:cs="Times New Roman"/>
          <w:color w:val="000000" w:themeColor="text1"/>
          <w:spacing w:val="-4"/>
          <w:sz w:val="20"/>
          <w:szCs w:val="20"/>
          <w:lang w:eastAsia="ru-RU"/>
        </w:rPr>
        <w:t>1</w:t>
      </w:r>
    </w:p>
    <w:p w:rsidR="00230542" w:rsidRPr="00415D97" w:rsidRDefault="00230542" w:rsidP="002305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</w:pPr>
      <w:r w:rsidRPr="00415D97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к решению Совета народных </w:t>
      </w:r>
      <w:r w:rsidRPr="00415D97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      </w:t>
      </w:r>
      <w:r w:rsidRPr="00415D97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Стародубского муниципального округа </w:t>
      </w:r>
    </w:p>
    <w:p w:rsidR="00230542" w:rsidRDefault="00230542" w:rsidP="002305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97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 </w:t>
      </w:r>
      <w:r w:rsidR="006E037E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>25.10.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 2023</w:t>
      </w:r>
      <w:r w:rsidRPr="00415D97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>№</w:t>
      </w:r>
      <w:r w:rsidR="006E037E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6E037E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>378</w:t>
      </w:r>
    </w:p>
    <w:p w:rsidR="00230542" w:rsidRDefault="00230542" w:rsidP="002305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42" w:rsidRPr="00C221E7" w:rsidRDefault="00230542" w:rsidP="002305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42" w:rsidRDefault="00230542" w:rsidP="0023054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 при осуществлении муниципального земельного контроля на территории Стародубского муниципального округа Брянской области</w:t>
      </w:r>
    </w:p>
    <w:p w:rsidR="00230542" w:rsidRPr="00311FBA" w:rsidRDefault="00230542" w:rsidP="00230542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542" w:rsidRDefault="00230542" w:rsidP="00230542">
      <w:pPr>
        <w:widowControl w:val="0"/>
        <w:tabs>
          <w:tab w:val="left" w:pos="1560"/>
        </w:tabs>
        <w:autoSpaceDE w:val="0"/>
        <w:autoSpaceDN w:val="0"/>
        <w:spacing w:after="0" w:line="271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30542" w:rsidRPr="009F425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145D26">
        <w:rPr>
          <w:rFonts w:ascii="Times New Roman" w:hAnsi="Times New Roman"/>
          <w:sz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недвижимости, на величину, превышающую значения точности (средней </w:t>
      </w:r>
      <w:proofErr w:type="spellStart"/>
      <w:r w:rsidRPr="00145D26">
        <w:rPr>
          <w:rFonts w:ascii="Times New Roman" w:hAnsi="Times New Roman"/>
          <w:sz w:val="28"/>
        </w:rPr>
        <w:t>квадратической</w:t>
      </w:r>
      <w:proofErr w:type="spellEnd"/>
      <w:r w:rsidRPr="00145D26">
        <w:rPr>
          <w:rFonts w:ascii="Times New Roman" w:hAnsi="Times New Roman"/>
          <w:sz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</w:t>
      </w:r>
      <w:proofErr w:type="gramStart"/>
      <w:r w:rsidRPr="00145D26">
        <w:rPr>
          <w:rFonts w:ascii="Times New Roman" w:hAnsi="Times New Roman"/>
          <w:sz w:val="28"/>
        </w:rPr>
        <w:t>П</w:t>
      </w:r>
      <w:proofErr w:type="gramEnd"/>
      <w:r w:rsidRPr="00145D26">
        <w:rPr>
          <w:rFonts w:ascii="Times New Roman" w:hAnsi="Times New Roman"/>
          <w:sz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45D26">
        <w:rPr>
          <w:rFonts w:ascii="Times New Roman" w:hAnsi="Times New Roman"/>
          <w:sz w:val="28"/>
        </w:rPr>
        <w:t>машино</w:t>
      </w:r>
      <w:proofErr w:type="spellEnd"/>
      <w:r w:rsidRPr="00145D26">
        <w:rPr>
          <w:rFonts w:ascii="Times New Roman" w:hAnsi="Times New Roman"/>
          <w:sz w:val="28"/>
        </w:rPr>
        <w:t xml:space="preserve">-места», </w:t>
      </w:r>
      <w:proofErr w:type="gramStart"/>
      <w:r w:rsidRPr="00145D26">
        <w:rPr>
          <w:rFonts w:ascii="Times New Roman" w:hAnsi="Times New Roman"/>
          <w:sz w:val="28"/>
        </w:rPr>
        <w:t>выявленное</w:t>
      </w:r>
      <w:proofErr w:type="gramEnd"/>
      <w:r w:rsidRPr="00145D26">
        <w:rPr>
          <w:rFonts w:ascii="Times New Roman" w:hAnsi="Times New Roman"/>
          <w:sz w:val="28"/>
        </w:rPr>
        <w:t xml:space="preserve"> в результате проведения контрольного мероприятия без взаимодействия с контролируемым лицом</w:t>
      </w:r>
      <w:r w:rsidRPr="009F4252">
        <w:rPr>
          <w:rFonts w:ascii="Times New Roman" w:hAnsi="Times New Roman"/>
          <w:sz w:val="28"/>
        </w:rPr>
        <w:t xml:space="preserve">. </w:t>
      </w:r>
    </w:p>
    <w:p w:rsidR="0023054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 w:rsidRPr="00145D26">
        <w:rPr>
          <w:rFonts w:ascii="Times New Roman" w:hAnsi="Times New Roman"/>
          <w:sz w:val="28"/>
        </w:rPr>
        <w:t xml:space="preserve">Расположение на земельном участке цельных непрерывных ограждений, сооружений, иных препятствий, затрудняющих доступ, установленных с превышением точек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недвижимости, на величину, превышающую значения точности (средней </w:t>
      </w:r>
      <w:proofErr w:type="spellStart"/>
      <w:r w:rsidRPr="00145D26">
        <w:rPr>
          <w:rFonts w:ascii="Times New Roman" w:hAnsi="Times New Roman"/>
          <w:sz w:val="28"/>
        </w:rPr>
        <w:t>квадратической</w:t>
      </w:r>
      <w:proofErr w:type="spellEnd"/>
      <w:r w:rsidRPr="00145D26">
        <w:rPr>
          <w:rFonts w:ascii="Times New Roman" w:hAnsi="Times New Roman"/>
          <w:sz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</w:t>
      </w:r>
      <w:proofErr w:type="gramEnd"/>
      <w:r w:rsidRPr="00145D26">
        <w:rPr>
          <w:rFonts w:ascii="Times New Roman" w:hAnsi="Times New Roman"/>
          <w:sz w:val="28"/>
        </w:rPr>
        <w:t xml:space="preserve"> 2020 года № </w:t>
      </w:r>
      <w:proofErr w:type="gramStart"/>
      <w:r w:rsidRPr="00145D26">
        <w:rPr>
          <w:rFonts w:ascii="Times New Roman" w:hAnsi="Times New Roman"/>
          <w:sz w:val="28"/>
        </w:rPr>
        <w:t>П</w:t>
      </w:r>
      <w:proofErr w:type="gramEnd"/>
      <w:r w:rsidRPr="00145D26">
        <w:rPr>
          <w:rFonts w:ascii="Times New Roman" w:hAnsi="Times New Roman"/>
          <w:sz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45D26">
        <w:rPr>
          <w:rFonts w:ascii="Times New Roman" w:hAnsi="Times New Roman"/>
          <w:sz w:val="28"/>
        </w:rPr>
        <w:t>машино</w:t>
      </w:r>
      <w:proofErr w:type="spellEnd"/>
      <w:r w:rsidRPr="00145D26">
        <w:rPr>
          <w:rFonts w:ascii="Times New Roman" w:hAnsi="Times New Roman"/>
          <w:sz w:val="28"/>
        </w:rPr>
        <w:t>-места», выявленное в результате проведения контрольного мероприятия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</w:p>
    <w:p w:rsidR="00230542" w:rsidRPr="009F425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 w:rsidRPr="00145D26">
        <w:rPr>
          <w:rFonts w:ascii="Times New Roman" w:hAnsi="Times New Roman"/>
          <w:sz w:val="28"/>
        </w:rPr>
        <w:t xml:space="preserve">Наличие на земельном участке однотипных сельскохозяйственных (огородных) культур расположенных в виде длящихся непрерывных гряд, в том числе с единообразным ландшафтным оформлением (однотипный вид, конфигурация) сельскохозяйственных (огородных) культур произрастающих с превышением точек местоположения границы данного земельного участка, согласно сведениям Единого государственного реестра недвижимости, на величину, превышающую значения точности (средней </w:t>
      </w:r>
      <w:proofErr w:type="spellStart"/>
      <w:r w:rsidRPr="00145D26">
        <w:rPr>
          <w:rFonts w:ascii="Times New Roman" w:hAnsi="Times New Roman"/>
          <w:sz w:val="28"/>
        </w:rPr>
        <w:t>квадратической</w:t>
      </w:r>
      <w:proofErr w:type="spellEnd"/>
      <w:r w:rsidRPr="00145D26">
        <w:rPr>
          <w:rFonts w:ascii="Times New Roman" w:hAnsi="Times New Roman"/>
          <w:sz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</w:t>
      </w:r>
      <w:proofErr w:type="gramEnd"/>
      <w:r w:rsidRPr="00145D26">
        <w:rPr>
          <w:rFonts w:ascii="Times New Roman" w:hAnsi="Times New Roman"/>
          <w:sz w:val="28"/>
        </w:rPr>
        <w:t xml:space="preserve"> службы государственной регистрации, кадастра и картографии от 23 октября 2020 года № </w:t>
      </w:r>
      <w:proofErr w:type="gramStart"/>
      <w:r w:rsidRPr="00145D26">
        <w:rPr>
          <w:rFonts w:ascii="Times New Roman" w:hAnsi="Times New Roman"/>
          <w:sz w:val="28"/>
        </w:rPr>
        <w:t>П</w:t>
      </w:r>
      <w:proofErr w:type="gramEnd"/>
      <w:r w:rsidRPr="00145D26">
        <w:rPr>
          <w:rFonts w:ascii="Times New Roman" w:hAnsi="Times New Roman"/>
          <w:sz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145D26">
        <w:rPr>
          <w:rFonts w:ascii="Times New Roman" w:hAnsi="Times New Roman"/>
          <w:sz w:val="28"/>
        </w:rPr>
        <w:t>машино</w:t>
      </w:r>
      <w:proofErr w:type="spellEnd"/>
      <w:r w:rsidRPr="00145D26">
        <w:rPr>
          <w:rFonts w:ascii="Times New Roman" w:hAnsi="Times New Roman"/>
          <w:sz w:val="28"/>
        </w:rPr>
        <w:t>-места», выявленное в результате проведения контрольного мероприятия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</w:p>
    <w:p w:rsidR="0023054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145D26">
        <w:rPr>
          <w:rFonts w:ascii="Times New Roman" w:hAnsi="Times New Roman"/>
          <w:sz w:val="28"/>
        </w:rPr>
        <w:t>Отсутствие на земельном участке более 12 месяцев, с момента получения права на целевое использование земель,  объектов (инструментов, зданий, сооружений, ограждений) материального мира, характеризующих трудовую деятельность контролируемого лица, в соответствии с установленной категорией земель и разрешенному использованию, указанным в правоустанавливающих документах на земельный участок соответствующим компетентным органом, выявленное в результате проведения контрольного мероприятия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  <w:proofErr w:type="gramEnd"/>
    </w:p>
    <w:p w:rsidR="00230542" w:rsidRPr="009F425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145D26">
        <w:rPr>
          <w:rFonts w:ascii="Times New Roman" w:hAnsi="Times New Roman"/>
          <w:sz w:val="28"/>
        </w:rPr>
        <w:t>Отсутствие на земельном участке из земель сельскохозяйственного назначения по прошествии 2/4 части срока, установленного Федеральным законом от 24 июля 2002 года № 101-ФЗ «Об обороте земель сельскохозяйственного назначения», объектов (инструментов, технических машин, зданий, сооружений, ограждений, коммуникаций, водоёмов для полива, сооружений для первичной переработки сельхозпродукции, защитных насаждений вокруг полей и т.д.</w:t>
      </w:r>
      <w:proofErr w:type="gramStart"/>
      <w:r w:rsidRPr="00145D26">
        <w:rPr>
          <w:rFonts w:ascii="Times New Roman" w:hAnsi="Times New Roman"/>
          <w:sz w:val="28"/>
        </w:rPr>
        <w:t xml:space="preserve"> )</w:t>
      </w:r>
      <w:proofErr w:type="gramEnd"/>
      <w:r w:rsidRPr="00145D26">
        <w:rPr>
          <w:rFonts w:ascii="Times New Roman" w:hAnsi="Times New Roman"/>
          <w:sz w:val="28"/>
        </w:rPr>
        <w:t xml:space="preserve"> материального мира позволяющих идентифицировать деятельность контролируемого лица с сельскохозяйственным производством, </w:t>
      </w:r>
      <w:proofErr w:type="gramStart"/>
      <w:r w:rsidRPr="00145D26">
        <w:rPr>
          <w:rFonts w:ascii="Times New Roman" w:hAnsi="Times New Roman"/>
          <w:sz w:val="28"/>
        </w:rPr>
        <w:t>выявленное</w:t>
      </w:r>
      <w:proofErr w:type="gramEnd"/>
      <w:r w:rsidRPr="00145D26">
        <w:rPr>
          <w:rFonts w:ascii="Times New Roman" w:hAnsi="Times New Roman"/>
          <w:sz w:val="28"/>
        </w:rPr>
        <w:t xml:space="preserve"> по результатам проведения контрольного мероприятий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</w:p>
    <w:p w:rsidR="00230542" w:rsidRPr="009F425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145D26">
        <w:rPr>
          <w:rFonts w:ascii="Times New Roman" w:hAnsi="Times New Roman"/>
          <w:sz w:val="28"/>
        </w:rPr>
        <w:t xml:space="preserve">Отсутствие на земельном </w:t>
      </w:r>
      <w:proofErr w:type="gramStart"/>
      <w:r w:rsidRPr="00145D26">
        <w:rPr>
          <w:rFonts w:ascii="Times New Roman" w:hAnsi="Times New Roman"/>
          <w:sz w:val="28"/>
        </w:rPr>
        <w:t>участке</w:t>
      </w:r>
      <w:proofErr w:type="gramEnd"/>
      <w:r w:rsidRPr="00145D26">
        <w:rPr>
          <w:rFonts w:ascii="Times New Roman" w:hAnsi="Times New Roman"/>
          <w:sz w:val="28"/>
        </w:rPr>
        <w:t xml:space="preserve"> предназначенном для жилищного или иного строительства по прошествии 2/4 части срока, установленного </w:t>
      </w:r>
      <w:r w:rsidRPr="00145D26">
        <w:rPr>
          <w:rFonts w:ascii="Times New Roman" w:hAnsi="Times New Roman"/>
          <w:sz w:val="28"/>
        </w:rPr>
        <w:lastRenderedPageBreak/>
        <w:t>правоустанавливающими документами на такой земельный участок, объектов (инструментов, технических машин, зданий, сооружений, ограждений) материального мира позволяющих идентифицировать деятельность контролируемого лица с ведением строительных работ, связанных с возведением объектов капитального строительства, выявленное по результатам проведения контрольного мероприятий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</w:p>
    <w:p w:rsidR="00230542" w:rsidRPr="009F425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145D26">
        <w:rPr>
          <w:rFonts w:ascii="Times New Roman" w:hAnsi="Times New Roman"/>
          <w:sz w:val="28"/>
        </w:rPr>
        <w:t xml:space="preserve">Отсутствие на земельном </w:t>
      </w:r>
      <w:proofErr w:type="gramStart"/>
      <w:r w:rsidRPr="00145D26">
        <w:rPr>
          <w:rFonts w:ascii="Times New Roman" w:hAnsi="Times New Roman"/>
          <w:sz w:val="28"/>
        </w:rPr>
        <w:t>участке</w:t>
      </w:r>
      <w:proofErr w:type="gramEnd"/>
      <w:r w:rsidRPr="00145D26">
        <w:rPr>
          <w:rFonts w:ascii="Times New Roman" w:hAnsi="Times New Roman"/>
          <w:sz w:val="28"/>
        </w:rPr>
        <w:t xml:space="preserve"> предназначенном для садоводства и огородничества по прошествии 2/4 части срока, установленного правоустанавливающими документами на данный земельный участок, объектов (инструментов, технических машин, зданий, сооружений, ограждений) материального мира, а также отсутствие садовых и огородных культур, позволяющих идентифицировать деятельность контролируемого лица с ведением садоводческих и огороднических работ по обработке земельного участка, подготовке к посеву, уходу и выращиванию растительных культур (плодов), </w:t>
      </w:r>
      <w:proofErr w:type="gramStart"/>
      <w:r w:rsidRPr="00145D26">
        <w:rPr>
          <w:rFonts w:ascii="Times New Roman" w:hAnsi="Times New Roman"/>
          <w:sz w:val="28"/>
        </w:rPr>
        <w:t>выявленное</w:t>
      </w:r>
      <w:proofErr w:type="gramEnd"/>
      <w:r w:rsidRPr="00145D26">
        <w:rPr>
          <w:rFonts w:ascii="Times New Roman" w:hAnsi="Times New Roman"/>
          <w:sz w:val="28"/>
        </w:rPr>
        <w:t xml:space="preserve"> по результатам проведения контрольного мероприятий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</w:p>
    <w:p w:rsidR="00230542" w:rsidRPr="009F4252" w:rsidRDefault="00230542" w:rsidP="00230542">
      <w:pPr>
        <w:spacing w:after="160" w:line="264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145D26">
        <w:rPr>
          <w:rFonts w:ascii="Times New Roman" w:hAnsi="Times New Roman"/>
          <w:sz w:val="28"/>
        </w:rPr>
        <w:t xml:space="preserve">Наличие на земельном </w:t>
      </w:r>
      <w:proofErr w:type="gramStart"/>
      <w:r w:rsidRPr="00145D26">
        <w:rPr>
          <w:rFonts w:ascii="Times New Roman" w:hAnsi="Times New Roman"/>
          <w:sz w:val="28"/>
        </w:rPr>
        <w:t>участке</w:t>
      </w:r>
      <w:proofErr w:type="gramEnd"/>
      <w:r w:rsidRPr="00145D26">
        <w:rPr>
          <w:rFonts w:ascii="Times New Roman" w:hAnsi="Times New Roman"/>
          <w:sz w:val="28"/>
        </w:rPr>
        <w:t xml:space="preserve"> предназначенном для соответствующего использования по целевому назначению по прошествии 1 года с момента получения правоустанавливающих документов на данный земельный участок, признаков захламления  земельного участка на площади 30% и более предметами жизнедеятельности человека и (или) животных, в том числе в результате стихийных погодных явлений, а также частичного разрушения зданий, сооружений, ограждений, выявленное по результатам проведения контрольного мероприятий без взаимодействия с контролируемым лицом</w:t>
      </w:r>
      <w:r>
        <w:rPr>
          <w:rFonts w:ascii="Times New Roman" w:hAnsi="Times New Roman"/>
          <w:sz w:val="28"/>
        </w:rPr>
        <w:t>.</w:t>
      </w:r>
    </w:p>
    <w:p w:rsidR="00230542" w:rsidRPr="008E3AFE" w:rsidRDefault="00230542" w:rsidP="00230542">
      <w:pPr>
        <w:widowControl w:val="0"/>
        <w:tabs>
          <w:tab w:val="left" w:pos="1560"/>
        </w:tabs>
        <w:autoSpaceDE w:val="0"/>
        <w:autoSpaceDN w:val="0"/>
        <w:spacing w:after="0" w:line="271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6D9C" w:rsidRDefault="00E66D9C"/>
    <w:p w:rsidR="009B2876" w:rsidRDefault="009B2876"/>
    <w:p w:rsidR="009B2876" w:rsidRDefault="009B2876"/>
    <w:p w:rsidR="009B2876" w:rsidRDefault="009B2876"/>
    <w:p w:rsidR="009B2876" w:rsidRDefault="009B2876"/>
    <w:p w:rsidR="009B2876" w:rsidRDefault="009B2876"/>
    <w:p w:rsidR="009B2876" w:rsidRDefault="009B2876"/>
    <w:p w:rsidR="009B2876" w:rsidRDefault="009B2876"/>
    <w:p w:rsidR="009B2876" w:rsidRDefault="009B2876"/>
    <w:sectPr w:rsidR="009B2876" w:rsidSect="00552E39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8D" w:rsidRDefault="00294C8D" w:rsidP="009C65B3">
      <w:pPr>
        <w:spacing w:after="0" w:line="240" w:lineRule="auto"/>
      </w:pPr>
      <w:r>
        <w:separator/>
      </w:r>
    </w:p>
  </w:endnote>
  <w:endnote w:type="continuationSeparator" w:id="0">
    <w:p w:rsidR="00294C8D" w:rsidRDefault="00294C8D" w:rsidP="009C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A6" w:rsidRDefault="00DF11A6">
    <w:pPr>
      <w:pStyle w:val="a6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8D" w:rsidRDefault="00294C8D" w:rsidP="009C65B3">
      <w:pPr>
        <w:spacing w:after="0" w:line="240" w:lineRule="auto"/>
      </w:pPr>
      <w:r>
        <w:separator/>
      </w:r>
    </w:p>
  </w:footnote>
  <w:footnote w:type="continuationSeparator" w:id="0">
    <w:p w:rsidR="00294C8D" w:rsidRDefault="00294C8D" w:rsidP="009C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A6" w:rsidRDefault="00DF11A6">
    <w:pPr>
      <w:pStyle w:val="a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E29"/>
    <w:multiLevelType w:val="hybridMultilevel"/>
    <w:tmpl w:val="E604BC8E"/>
    <w:lvl w:ilvl="0" w:tplc="FCCCB92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719E7"/>
    <w:multiLevelType w:val="hybridMultilevel"/>
    <w:tmpl w:val="F470F926"/>
    <w:lvl w:ilvl="0" w:tplc="B7D0361A">
      <w:start w:val="1"/>
      <w:numFmt w:val="decimal"/>
      <w:lvlText w:val="%1)"/>
      <w:lvlJc w:val="left"/>
      <w:pPr>
        <w:ind w:left="1702" w:hanging="377"/>
      </w:pPr>
      <w:rPr>
        <w:rFonts w:ascii="Tahoma" w:eastAsia="Tahoma" w:hAnsi="Tahoma" w:cs="Tahoma" w:hint="default"/>
        <w:w w:val="88"/>
        <w:sz w:val="25"/>
        <w:szCs w:val="25"/>
        <w:lang w:val="ru-RU" w:eastAsia="en-US" w:bidi="ar-SA"/>
      </w:rPr>
    </w:lvl>
    <w:lvl w:ilvl="1" w:tplc="1348F2BE">
      <w:numFmt w:val="bullet"/>
      <w:lvlText w:val="•"/>
      <w:lvlJc w:val="left"/>
      <w:pPr>
        <w:ind w:left="2720" w:hanging="377"/>
      </w:pPr>
      <w:rPr>
        <w:rFonts w:hint="default"/>
        <w:lang w:val="ru-RU" w:eastAsia="en-US" w:bidi="ar-SA"/>
      </w:rPr>
    </w:lvl>
    <w:lvl w:ilvl="2" w:tplc="2E8290B2">
      <w:numFmt w:val="bullet"/>
      <w:lvlText w:val="•"/>
      <w:lvlJc w:val="left"/>
      <w:pPr>
        <w:ind w:left="3741" w:hanging="377"/>
      </w:pPr>
      <w:rPr>
        <w:rFonts w:hint="default"/>
        <w:lang w:val="ru-RU" w:eastAsia="en-US" w:bidi="ar-SA"/>
      </w:rPr>
    </w:lvl>
    <w:lvl w:ilvl="3" w:tplc="836C2E72">
      <w:numFmt w:val="bullet"/>
      <w:lvlText w:val="•"/>
      <w:lvlJc w:val="left"/>
      <w:pPr>
        <w:ind w:left="4761" w:hanging="377"/>
      </w:pPr>
      <w:rPr>
        <w:rFonts w:hint="default"/>
        <w:lang w:val="ru-RU" w:eastAsia="en-US" w:bidi="ar-SA"/>
      </w:rPr>
    </w:lvl>
    <w:lvl w:ilvl="4" w:tplc="493C1626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5" w:tplc="F95250A4">
      <w:numFmt w:val="bullet"/>
      <w:lvlText w:val="•"/>
      <w:lvlJc w:val="left"/>
      <w:pPr>
        <w:ind w:left="6803" w:hanging="377"/>
      </w:pPr>
      <w:rPr>
        <w:rFonts w:hint="default"/>
        <w:lang w:val="ru-RU" w:eastAsia="en-US" w:bidi="ar-SA"/>
      </w:rPr>
    </w:lvl>
    <w:lvl w:ilvl="6" w:tplc="05D40808">
      <w:numFmt w:val="bullet"/>
      <w:lvlText w:val="•"/>
      <w:lvlJc w:val="left"/>
      <w:pPr>
        <w:ind w:left="7823" w:hanging="377"/>
      </w:pPr>
      <w:rPr>
        <w:rFonts w:hint="default"/>
        <w:lang w:val="ru-RU" w:eastAsia="en-US" w:bidi="ar-SA"/>
      </w:rPr>
    </w:lvl>
    <w:lvl w:ilvl="7" w:tplc="70E2F334">
      <w:numFmt w:val="bullet"/>
      <w:lvlText w:val="•"/>
      <w:lvlJc w:val="left"/>
      <w:pPr>
        <w:ind w:left="8844" w:hanging="377"/>
      </w:pPr>
      <w:rPr>
        <w:rFonts w:hint="default"/>
        <w:lang w:val="ru-RU" w:eastAsia="en-US" w:bidi="ar-SA"/>
      </w:rPr>
    </w:lvl>
    <w:lvl w:ilvl="8" w:tplc="9B2EE044">
      <w:numFmt w:val="bullet"/>
      <w:lvlText w:val="•"/>
      <w:lvlJc w:val="left"/>
      <w:pPr>
        <w:ind w:left="9865" w:hanging="377"/>
      </w:pPr>
      <w:rPr>
        <w:rFonts w:hint="default"/>
        <w:lang w:val="ru-RU" w:eastAsia="en-US" w:bidi="ar-SA"/>
      </w:rPr>
    </w:lvl>
  </w:abstractNum>
  <w:abstractNum w:abstractNumId="2">
    <w:nsid w:val="1AFB526D"/>
    <w:multiLevelType w:val="hybridMultilevel"/>
    <w:tmpl w:val="DAB4D4BE"/>
    <w:lvl w:ilvl="0" w:tplc="030AD1A2">
      <w:start w:val="1"/>
      <w:numFmt w:val="decimal"/>
      <w:lvlText w:val="%1.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42"/>
    <w:rsid w:val="000F2EAA"/>
    <w:rsid w:val="00157C71"/>
    <w:rsid w:val="001C3A70"/>
    <w:rsid w:val="00230542"/>
    <w:rsid w:val="00294C8D"/>
    <w:rsid w:val="00552E39"/>
    <w:rsid w:val="006E037E"/>
    <w:rsid w:val="00866037"/>
    <w:rsid w:val="009B2876"/>
    <w:rsid w:val="009C2A1D"/>
    <w:rsid w:val="009C65B3"/>
    <w:rsid w:val="00A01B9A"/>
    <w:rsid w:val="00A26025"/>
    <w:rsid w:val="00DF11A6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230542"/>
    <w:pPr>
      <w:ind w:left="720"/>
      <w:contextualSpacing/>
    </w:pPr>
  </w:style>
  <w:style w:type="paragraph" w:customStyle="1" w:styleId="ConsPlusNormal">
    <w:name w:val="ConsPlusNormal"/>
    <w:rsid w:val="0023054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"/>
    <w:basedOn w:val="a"/>
    <w:link w:val="a7"/>
    <w:uiPriority w:val="1"/>
    <w:qFormat/>
    <w:rsid w:val="00230542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ahoma" w:eastAsia="Tahoma" w:hAnsi="Tahoma" w:cs="Tahom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230542"/>
    <w:rPr>
      <w:rFonts w:ascii="Tahoma" w:eastAsia="Tahoma" w:hAnsi="Tahoma" w:cs="Tahoma"/>
      <w:sz w:val="25"/>
      <w:szCs w:val="25"/>
    </w:rPr>
  </w:style>
  <w:style w:type="character" w:customStyle="1" w:styleId="a5">
    <w:name w:val="Абзац списка Знак"/>
    <w:basedOn w:val="a0"/>
    <w:link w:val="a4"/>
    <w:rsid w:val="00230542"/>
  </w:style>
  <w:style w:type="paragraph" w:styleId="a8">
    <w:name w:val="No Spacing"/>
    <w:uiPriority w:val="1"/>
    <w:qFormat/>
    <w:rsid w:val="009B287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6</cp:revision>
  <cp:lastPrinted>2023-10-17T07:30:00Z</cp:lastPrinted>
  <dcterms:created xsi:type="dcterms:W3CDTF">2023-09-18T09:53:00Z</dcterms:created>
  <dcterms:modified xsi:type="dcterms:W3CDTF">2023-10-25T11:08:00Z</dcterms:modified>
</cp:coreProperties>
</file>