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C33" w:rsidRDefault="00225C33" w:rsidP="00BE29D4">
      <w:pPr>
        <w:spacing w:after="0" w:line="240" w:lineRule="auto"/>
        <w:ind w:firstLine="709"/>
        <w:jc w:val="center"/>
        <w:rPr>
          <w:rFonts w:ascii="Times New Roman" w:hAnsi="Times New Roman" w:cs="Times New Roman"/>
          <w:b/>
          <w:bCs/>
          <w:sz w:val="24"/>
        </w:rPr>
      </w:pPr>
      <w:r w:rsidRPr="003D11ED">
        <w:rPr>
          <w:rFonts w:ascii="Times New Roman" w:hAnsi="Times New Roman" w:cs="Times New Roman"/>
          <w:b/>
          <w:bCs/>
          <w:sz w:val="24"/>
        </w:rPr>
        <w:t xml:space="preserve">Какая ответственность предусмотрена за распространение экстремистских </w:t>
      </w:r>
      <w:r>
        <w:rPr>
          <w:rFonts w:ascii="Times New Roman" w:hAnsi="Times New Roman" w:cs="Times New Roman"/>
          <w:b/>
          <w:bCs/>
          <w:sz w:val="24"/>
        </w:rPr>
        <w:t>материалов</w:t>
      </w:r>
    </w:p>
    <w:p w:rsidR="00225C33" w:rsidRDefault="00225C33" w:rsidP="00225C33">
      <w:pPr>
        <w:spacing w:after="0" w:line="240" w:lineRule="auto"/>
        <w:ind w:firstLine="709"/>
        <w:jc w:val="both"/>
        <w:rPr>
          <w:rFonts w:ascii="Times New Roman" w:hAnsi="Times New Roman" w:cs="Times New Roman"/>
          <w:b/>
          <w:bCs/>
          <w:sz w:val="24"/>
        </w:rPr>
      </w:pPr>
    </w:p>
    <w:p w:rsidR="00225C33" w:rsidRPr="003D11ED" w:rsidRDefault="00225C33" w:rsidP="00225C33">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Согласно действующему законодательству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25C33" w:rsidRPr="003D11ED" w:rsidRDefault="00225C33" w:rsidP="00225C33">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25C33" w:rsidRPr="003D11ED" w:rsidRDefault="00225C33" w:rsidP="00225C33">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 Указанное правонарушение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25C33" w:rsidRPr="003D11ED" w:rsidRDefault="00225C33" w:rsidP="00225C33">
      <w:pPr>
        <w:spacing w:after="0" w:line="240" w:lineRule="auto"/>
        <w:ind w:firstLine="709"/>
        <w:jc w:val="both"/>
        <w:rPr>
          <w:rFonts w:ascii="Times New Roman" w:hAnsi="Times New Roman" w:cs="Times New Roman"/>
          <w:sz w:val="24"/>
        </w:rPr>
      </w:pPr>
      <w:r w:rsidRPr="003D11ED">
        <w:rPr>
          <w:rFonts w:ascii="Times New Roman" w:hAnsi="Times New Roman" w:cs="Times New Roman"/>
          <w:sz w:val="24"/>
        </w:rPr>
        <w:t>Полномочия по составлению протоколов об административных правонарушениях по статье 20.29 Кодекса Российской Федерации об административных правонарушениях возложены на должностных лиц органов внутренних дела (полиции).</w:t>
      </w:r>
    </w:p>
    <w:p w:rsidR="00FC254A" w:rsidRDefault="00FC254A"/>
    <w:p w:rsidR="00BE29D4" w:rsidRPr="00367C32" w:rsidRDefault="00BE29D4" w:rsidP="00BE29D4">
      <w:pPr>
        <w:rPr>
          <w:rFonts w:ascii="Times New Roman" w:hAnsi="Times New Roman" w:cs="Times New Roman"/>
          <w:sz w:val="24"/>
          <w:szCs w:val="24"/>
        </w:rPr>
      </w:pPr>
      <w:bookmarkStart w:id="0" w:name="_Hlk139112310"/>
      <w:r w:rsidRPr="00367C32">
        <w:rPr>
          <w:rFonts w:ascii="Times New Roman" w:hAnsi="Times New Roman" w:cs="Times New Roman"/>
          <w:sz w:val="24"/>
          <w:szCs w:val="24"/>
        </w:rPr>
        <w:t>Старший помощник прокурора</w:t>
      </w:r>
    </w:p>
    <w:p w:rsidR="00BE29D4" w:rsidRPr="00367C32" w:rsidRDefault="00BE29D4" w:rsidP="00BE29D4">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p>
    <w:p w:rsidR="00BE29D4" w:rsidRDefault="00BE29D4">
      <w:bookmarkStart w:id="1" w:name="_GoBack"/>
      <w:bookmarkEnd w:id="0"/>
      <w:bookmarkEnd w:id="1"/>
    </w:p>
    <w:sectPr w:rsidR="00BE2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8A"/>
    <w:rsid w:val="00225C33"/>
    <w:rsid w:val="0079438A"/>
    <w:rsid w:val="00BE29D4"/>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895E"/>
  <w15:chartTrackingRefBased/>
  <w15:docId w15:val="{3DDD1C5D-F560-4B40-BD9E-DD27A44D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2023-07-01T09:40:00Z</dcterms:created>
  <dcterms:modified xsi:type="dcterms:W3CDTF">2023-07-01T11:22:00Z</dcterms:modified>
</cp:coreProperties>
</file>