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B4" w:rsidRDefault="00E334B4" w:rsidP="00E334B4">
      <w:pPr>
        <w:spacing w:after="0" w:line="240" w:lineRule="atLeast"/>
        <w:rPr>
          <w:rFonts w:ascii="Times New Roman" w:hAnsi="Times New Roman"/>
          <w:b/>
          <w:bCs/>
          <w:sz w:val="28"/>
          <w:u w:val="single"/>
        </w:rPr>
      </w:pPr>
      <w:r>
        <w:rPr>
          <w:rFonts w:ascii="Times New Roman" w:hAnsi="Times New Roman"/>
          <w:b/>
          <w:bCs/>
        </w:rPr>
        <w:t xml:space="preserve">                                        </w:t>
      </w:r>
      <w:r>
        <w:rPr>
          <w:rFonts w:ascii="Times New Roman" w:hAnsi="Times New Roman"/>
          <w:b/>
          <w:bCs/>
          <w:sz w:val="28"/>
        </w:rPr>
        <w:t xml:space="preserve">                                                                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  Российская  Федерация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        Брянская область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b/>
          <w:bCs/>
          <w:sz w:val="28"/>
        </w:rPr>
      </w:pPr>
    </w:p>
    <w:p w:rsidR="00E334B4" w:rsidRDefault="00E334B4" w:rsidP="00E334B4">
      <w:pPr>
        <w:spacing w:after="0" w:line="240" w:lineRule="atLeas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СТАРОДУБСКИЙ РАЙОННЫЙ СОВЕТ НАРОДНЫХ ДЕПУТАТОВ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b/>
          <w:bCs/>
          <w:sz w:val="28"/>
        </w:rPr>
      </w:pPr>
    </w:p>
    <w:p w:rsidR="00E334B4" w:rsidRDefault="00E334B4" w:rsidP="00E334B4">
      <w:pPr>
        <w:spacing w:after="0" w:line="240" w:lineRule="atLeas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         Р Е Ш Е Н И Е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b/>
          <w:bCs/>
          <w:sz w:val="28"/>
        </w:rPr>
      </w:pPr>
    </w:p>
    <w:p w:rsidR="00E334B4" w:rsidRDefault="00E334B4" w:rsidP="00E334B4">
      <w:pPr>
        <w:pStyle w:val="1"/>
        <w:spacing w:line="240" w:lineRule="atLeast"/>
      </w:pPr>
    </w:p>
    <w:p w:rsidR="00E334B4" w:rsidRDefault="00E334B4" w:rsidP="00E334B4">
      <w:pPr>
        <w:pStyle w:val="1"/>
        <w:spacing w:line="240" w:lineRule="atLeast"/>
        <w:rPr>
          <w:b w:val="0"/>
          <w:u w:val="single"/>
        </w:rPr>
      </w:pPr>
      <w:r>
        <w:rPr>
          <w:b w:val="0"/>
        </w:rPr>
        <w:t xml:space="preserve">от  </w:t>
      </w:r>
      <w:r w:rsidR="00377CA6">
        <w:rPr>
          <w:b w:val="0"/>
        </w:rPr>
        <w:t>31.10.2018г</w:t>
      </w:r>
      <w:r>
        <w:rPr>
          <w:b w:val="0"/>
        </w:rPr>
        <w:t xml:space="preserve"> № </w:t>
      </w:r>
      <w:r w:rsidR="00377CA6">
        <w:rPr>
          <w:b w:val="0"/>
        </w:rPr>
        <w:t>476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г. Стародуб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sz w:val="24"/>
        </w:rPr>
      </w:pPr>
    </w:p>
    <w:p w:rsidR="00E334B4" w:rsidRDefault="00E334B4" w:rsidP="00E334B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изменений и дополнений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районного Совета 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28.09.2005 №93 «О системе налогообложения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единого налога на вмененный доход»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районного Совета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№104 от 26.10.2005 и решений районного Совета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№220 от 15.11.2006,№261 от 28.03.2007,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293от 27.06.2007, №341 от 28.11.2007,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№385 от 23.04.2008,№426 от 29.10.2008, 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№153 от 27.10.2010, №322 от 31.10.2012, 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.№29 от 29.10.2014, №167 от 27.10. 2015,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373 от 31.10.2017).</w:t>
      </w:r>
    </w:p>
    <w:p w:rsidR="00E334B4" w:rsidRDefault="00E334B4" w:rsidP="00E334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334B4" w:rsidRDefault="00E334B4" w:rsidP="00E334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гл. 26.3 ст.346.29 п.6 Налогового кодекса Российской Федерации, прогнозируемыми параметрами инфляции в Брянской области в 2019 году Стародубский районный Совет народных депутатов решил:</w:t>
      </w:r>
    </w:p>
    <w:p w:rsidR="00E334B4" w:rsidRDefault="00E334B4" w:rsidP="00E334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Пункт 3 изложить в новой редакции «Утвердить значения корректирующего коэффициента базовой доходности К2 для всех категорий налогоплательщиков, уплачивающих единый налог на вмененный доход для отдельных видов деятельности согласно приложению».</w:t>
      </w:r>
    </w:p>
    <w:p w:rsidR="00E334B4" w:rsidRDefault="00E334B4" w:rsidP="00E334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единому налогу на вмененный доход для отдельных видов деятельности на период не менее чем календарный год.</w:t>
      </w:r>
    </w:p>
    <w:p w:rsidR="00E334B4" w:rsidRDefault="00E334B4" w:rsidP="00E334B4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Данное решение опубликовать в газете «Стародубский вестник».</w:t>
      </w:r>
    </w:p>
    <w:p w:rsidR="00E334B4" w:rsidRDefault="00E334B4" w:rsidP="00E334B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34B4" w:rsidRDefault="00E334B4" w:rsidP="00E334B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34B4" w:rsidRDefault="00E334B4" w:rsidP="00E334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Стародубского района                                                      В.В.Ковалев                              </w:t>
      </w:r>
    </w:p>
    <w:tbl>
      <w:tblPr>
        <w:tblW w:w="99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487"/>
        <w:gridCol w:w="895"/>
        <w:gridCol w:w="1008"/>
        <w:gridCol w:w="1606"/>
      </w:tblGrid>
      <w:tr w:rsidR="00A46789" w:rsidTr="00A46789">
        <w:trPr>
          <w:trHeight w:val="1984"/>
        </w:trPr>
        <w:tc>
          <w:tcPr>
            <w:tcW w:w="6484" w:type="dxa"/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3506" w:type="dxa"/>
            <w:gridSpan w:val="3"/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Приложение</w:t>
            </w:r>
          </w:p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 решению </w:t>
            </w:r>
          </w:p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Стародубского районного Совета</w:t>
            </w:r>
          </w:p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народных депутатов </w:t>
            </w:r>
          </w:p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  31.010.2018г  №476</w:t>
            </w:r>
          </w:p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A46789" w:rsidTr="00A46789">
        <w:trPr>
          <w:trHeight w:val="100"/>
        </w:trPr>
        <w:tc>
          <w:tcPr>
            <w:tcW w:w="8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Значения корректирующего коэффициента базовой доходности К2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6789" w:rsidTr="00A46789">
        <w:trPr>
          <w:trHeight w:val="574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Наименование видов деятельности, подлежащих переводу на единый налог на вмененный доход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Группа 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Группа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Группа 3</w:t>
            </w:r>
          </w:p>
        </w:tc>
      </w:tr>
      <w:tr w:rsidR="00A46789" w:rsidTr="00A46789">
        <w:trPr>
          <w:trHeight w:val="574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6789" w:rsidRDefault="00A46789" w:rsidP="00704E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Оказание бытовых услуг, их групп, подгрупп, видов и (или) отдельных бытовых услуг, классифицируемых в соответствии с Общероссийским классификатором видов экономической деятельности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6789" w:rsidRDefault="00A46789">
            <w:pPr>
              <w:spacing w:after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6789" w:rsidRDefault="00A46789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89" w:rsidRDefault="00A46789">
            <w:pPr>
              <w:spacing w:after="0"/>
            </w:pPr>
          </w:p>
        </w:tc>
      </w:tr>
      <w:tr w:rsidR="00A46789" w:rsidTr="00A46789">
        <w:trPr>
          <w:trHeight w:val="550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ремонт обуви и прочих изделий из кожи (ОКВЭД 2 ОК 029-2014, код 95.23)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0,062</w:t>
            </w:r>
          </w:p>
        </w:tc>
      </w:tr>
      <w:tr w:rsidR="00A46789" w:rsidTr="00A46789">
        <w:trPr>
          <w:trHeight w:val="740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ремонт одежды и текстильных изделий (ОКВЭД 2 ОК 029-2014, код 95.29.1)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0,507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0,068</w:t>
            </w:r>
          </w:p>
        </w:tc>
      </w:tr>
      <w:tr w:rsidR="00A46789" w:rsidTr="00A46789">
        <w:trPr>
          <w:trHeight w:val="707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прочих бытовых изделий и предметов личного пользования (ОКВЭД 2 ОК 02-2014, код 95.29.9)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0,507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0,068</w:t>
            </w:r>
          </w:p>
        </w:tc>
      </w:tr>
      <w:tr w:rsidR="00A46789" w:rsidTr="00A46789">
        <w:trPr>
          <w:trHeight w:val="741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компьютеров и периферийного компьютерного оборудования (ОКВЭД 2 ОК 029-2014, код 95.11)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</w:tr>
      <w:tr w:rsidR="00A46789" w:rsidTr="00A46789">
        <w:trPr>
          <w:trHeight w:val="608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ремонт электронной бытовой техники (ОКВЭД 2 ОК 029-2014, код 95.21)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</w:tr>
      <w:tr w:rsidR="00A46789" w:rsidTr="00A46789">
        <w:trPr>
          <w:trHeight w:val="574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часов и ювелирных изделий (ОКВЭД 2 ОК 029-2014, код 95.25,95.25.1,95.25.2)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0,068</w:t>
            </w:r>
          </w:p>
        </w:tc>
      </w:tr>
      <w:tr w:rsidR="00A46789" w:rsidTr="00A46789">
        <w:trPr>
          <w:trHeight w:val="574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бытовых приборов, домашнего и садового инвентаря (ОКВЭД 2 ОК 029-2014, код 95.22)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0,726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</w:tr>
      <w:tr w:rsidR="00A46789" w:rsidTr="00A46789">
        <w:trPr>
          <w:trHeight w:val="509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ремонт мебели и предметов домашнего обихода (ОКВЭД 2 ОК 029-2014, код 95.24)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0,726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</w:tr>
      <w:tr w:rsidR="00A46789" w:rsidTr="00A46789">
        <w:trPr>
          <w:trHeight w:val="667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стирка и химическая чистка текстильных и меховых изделий (ОКВЭД 2 ОК 029-2014, код 96.01)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0,507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0,068</w:t>
            </w:r>
          </w:p>
        </w:tc>
      </w:tr>
      <w:tr w:rsidR="00A46789" w:rsidTr="00A46789">
        <w:trPr>
          <w:trHeight w:val="600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прочих персональных услуг, не включенных в другие группировки ОКВЭД 2 ОК 029-2014, код 96.09)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0,761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</w:tr>
      <w:tr w:rsidR="00A46789" w:rsidTr="00A46789">
        <w:trPr>
          <w:trHeight w:val="580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деятельность физкультурно-оздоровительная (ОКВЭД 2 ОК 029-2014, код 96.04)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0,726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</w:tr>
      <w:tr w:rsidR="00A46789" w:rsidTr="00A46789">
        <w:trPr>
          <w:trHeight w:val="326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услуг парикмахерскими и салонами красоты (ОКВЭД 2 ОК 029-2014, код 96.02)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0,609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</w:tr>
      <w:tr w:rsidR="00A46789" w:rsidTr="00A46789">
        <w:trPr>
          <w:trHeight w:val="523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похорон и предоставление связанных с ними услуг (ОКВЭД 2 ОК 029-2014, код 96.03)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0,576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</w:tr>
      <w:tr w:rsidR="00A46789" w:rsidTr="00A46789">
        <w:trPr>
          <w:trHeight w:val="300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2. Оказание ветеринарных услуг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0,068</w:t>
            </w:r>
          </w:p>
        </w:tc>
      </w:tr>
      <w:tr w:rsidR="00A46789" w:rsidTr="00A46789">
        <w:trPr>
          <w:trHeight w:val="523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0,125</w:t>
            </w:r>
          </w:p>
        </w:tc>
      </w:tr>
      <w:tr w:rsidR="00A46789" w:rsidTr="00A46789">
        <w:trPr>
          <w:trHeight w:val="550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0,558</w:t>
            </w:r>
          </w:p>
        </w:tc>
      </w:tr>
      <w:tr w:rsidR="00A46789" w:rsidTr="00A46789">
        <w:trPr>
          <w:trHeight w:val="1096"/>
        </w:trPr>
        <w:tc>
          <w:tcPr>
            <w:tcW w:w="9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5. 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                                </w:t>
            </w:r>
          </w:p>
        </w:tc>
      </w:tr>
      <w:tr w:rsidR="00A46789" w:rsidTr="00A46789">
        <w:trPr>
          <w:trHeight w:val="876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Оказания автотранспортных услуг по перевозке пассажиров, осуществляемых организациями и индивидуальными предпринимателями, с использованием легковых автомобилей, микроавтобусов и автобусов.                               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0,380</w:t>
            </w:r>
          </w:p>
        </w:tc>
      </w:tr>
      <w:tr w:rsidR="00A46789" w:rsidTr="00A46789">
        <w:trPr>
          <w:trHeight w:val="1138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Оказания автотранспортных услуг по перевозке пассажиров, осуществляемых организациями и индивидуальными предпринимателями, с использованием автобусов вне маршрута.                             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0,761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0,761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0,761</w:t>
            </w:r>
          </w:p>
        </w:tc>
      </w:tr>
      <w:tr w:rsidR="00A46789" w:rsidTr="00A46789">
        <w:trPr>
          <w:trHeight w:val="1152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Оказания автотранспортных услуг по перевозке грузов, осуществляемых организациями и индивидуальными предпринимателями, с использованием транспортных средств грузоподъемностью до 3 тонн включительно.                             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0,761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0,761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0,761</w:t>
            </w:r>
          </w:p>
        </w:tc>
      </w:tr>
      <w:tr w:rsidR="00A46789" w:rsidTr="00A46789">
        <w:trPr>
          <w:trHeight w:val="1138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Оказания автотранспортных услуг по перевозке грузов, осуществляемых организациями и индивидуальными предпринимателями, с использованием грузовых автомобилей грузоподъемностью свыше 3 тонн.                             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 w:rsidR="00A46789" w:rsidTr="00A46789">
        <w:trPr>
          <w:trHeight w:val="797"/>
        </w:trPr>
        <w:tc>
          <w:tcPr>
            <w:tcW w:w="9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 Розничная торговля, осуществляемая через магазины и павильоны  с площадью торгового зала не более 150 квадратных метров по каждому объекту организации торговли</w:t>
            </w:r>
          </w:p>
        </w:tc>
      </w:tr>
      <w:tr w:rsidR="00A46789" w:rsidTr="00A46789">
        <w:trPr>
          <w:trHeight w:val="1322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Розничная торговля, осуществляемая через  объекты стационарной торговой сети, имеющие торговые залы не более 150 кв.м. (с продажей винно-водочных изделий, пива, кожаных, меховых, ювелирных изделий, технически сложных товаров и мебели)  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0,761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1373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Розничная торговля, осуществляемая через  объекты стационарной торговой сети, имеющие торговые залы не более 150 кв.м. (без продажи вино - водочных изделий, пива, кожаных, меховых, ювелирных изделий,  технически сложных товаров и мебели)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0,507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0,13*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1373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Розничная торговля, осуществляемая через объекты стационарной торговой сети, имеющие торговые залы не более 150 кв.м. (с продажей вино- водочных изделий, пива, кожаных, меховых, ювелирных изделий, технически сложных товаров и мебели), если объем реализации продукции местного производства (молочная продукция, хлебная продукция и колбасные изделия) в общем объеме товарооборота за налоговый период составляет 70% и более по каждому месту осуществления предпринимательской деятельности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0,761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1373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Розничная торговля, осуществляемая через объекты стационарной торговой сети, имеющие торговые залы  более 150 кв.м. (с продажей вино- водочных изделий, пива, кожаных, меховых, ювелирных изделий, технически сложных товаров и мебели), если объем реализации продукции местного производства (молочная продукция, хлебная продукция и колбасные изделия) в общем объеме товарооборота за налоговый период составляет 70% и более по каждому месту осуществления предпринимательской деятельности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0,761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1373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Розничная торговля, осуществляемая через объекты стационарной торговой сети, имеющие торговые залы не более 150 кв.м. (без продажи вино- водочных изделий, пива, кожаных, меховых, ювелирных изделий, технически сложных товаров и мебели), если объем реализации продукции местного производства (молочная продукция, хлебная продукция и колбасные изделия) в общем объеме товарооборота за налоговый период составляет 70% и более по каждому месту осуществления предпринимательской деятельности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0,507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1373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Розничная торговля, осуществляемая через объекты стационарной торговой сети, имеющие торговые залы  более 150 кв.м. (без продажи вино- водочных изделий, пива, кожаных, меховых, ювелирных изделий, технически сложных товаров и мебели), если объем реализации продукции местного производства (молочная продукция, хлебная продукция и колбасные изделия) в общем объеме товарооборота за налоговый период составляет 70% и более по каждому месту осуществления предпринимательской деятельности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0,507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785"/>
        </w:trPr>
        <w:tc>
          <w:tcPr>
            <w:tcW w:w="9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 </w:t>
            </w:r>
          </w:p>
        </w:tc>
      </w:tr>
      <w:tr w:rsidR="00A46789" w:rsidTr="00A46789">
        <w:trPr>
          <w:trHeight w:val="1087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Розничная торговля, осуществляемая через  объекты стационарной торговой сети,  не имеющие торговых залов, а также  через  объекты нестационарной торговой сети (с продажей табачных, кожаных , меховых изделий, технически сложных товаров и мебели) площадь торгового места в которых не превышает 5 квадратных метров .                                             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0,813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0,384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0,191</w:t>
            </w:r>
          </w:p>
        </w:tc>
      </w:tr>
      <w:tr w:rsidR="00A46789" w:rsidTr="00A46789">
        <w:trPr>
          <w:trHeight w:val="1099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Розничная торговля, осуществляемая через объекты стационарной торговой сети, а также через объекты нестационарной торговой сети (без продажи табачных, кожаных, меховых изделий, технически сложных товаров и мебели), площадь торгового места в которых не превышает 5 квадратных метров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0,492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1099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Розничная торговля предметами похоронного ритуала и похоронными принадлежностями, осуществляемая в объектах стационарной торговой сети,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0,286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835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Розничная торговля, осуществляемая через объекты стационарной торговой сети, а также через объекты нестационарной торговой сети (с продажей табачных, кожаных, меховых изделий, технически сложных товаров и мебели), площадь торгового места в которых превышает 5 квадратных метров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835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Розничная торговля, осуществляемая через объекты стационарной торговой сети, а также через объекты нестационарной торговой сети (без продажи табачных изделий, кожаных, меховых изделий, технически сложных товаров и мебели), площадь торгового места в которых превышает 5 квадратных метров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0,378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835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Розничная торговля предметами похоронного ритуала и похоронными принадлежностями, осуществляемая через объекты стационарной торговой сети,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0,140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835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Розничная торговля, осуществляемая через объекты стационарной торговой сети, при реализации книжной продукции, связанной с образованием, наукой и культурой, продукции полиграфической промышленности, реализации продуктов детского питания, если </w:t>
            </w:r>
            <w:r>
              <w:rPr>
                <w:rFonts w:ascii="Times New Roman" w:hAnsi="Times New Roman"/>
                <w:color w:val="000000"/>
              </w:rPr>
              <w:lastRenderedPageBreak/>
              <w:t>объем реализации данной продукции в общем объеме товарооборота превышает 50 процентов по каждому месту осуществления предпринимательской деятельности, площадь торгового места в которых не превышает 5 квадратных метров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0,231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0,140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835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 бытового назначения)</w:t>
            </w:r>
          </w:p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0,468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304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Розничная торговля, осуществляемая через киоски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6789" w:rsidTr="00A46789">
        <w:trPr>
          <w:trHeight w:val="1126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Розничная торговля, осуществляемая через киоски, площадь торгового места в которых не превышает 5 квадратных метров                    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0,756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574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Розничная торговля, осуществляемая через киоски, площадь торгового места в которых превышает 5 квадратных метров                  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0,565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785"/>
        </w:trPr>
        <w:tc>
          <w:tcPr>
            <w:tcW w:w="9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 по каждому объекту организации общественного питания </w:t>
            </w:r>
          </w:p>
        </w:tc>
      </w:tr>
      <w:tr w:rsidR="00A46789" w:rsidTr="00A46789">
        <w:trPr>
          <w:trHeight w:val="1138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Оказание услуг общественного питания, осуществляемых с использованием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легковозводимых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сборно-разборных конструкций (площадь зала обслуживания посетителей, с учетом площади открытой площадки не более 70 кв.м.)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0,638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1361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Оказание услуг общественного питания, осуществляемые с использованием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легковозводимых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сборно-разборных конструкций (площадь зала обслуживания посетителей, с учетом площади открытой площадки более 70 кв.м.до 150 кв.м. включительно)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0,567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850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Оказание услуг общественного питания с   продажей вино – водочных изделий, пива (площадь зала обслуживания посетителей не более 70 кв.м.)                 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0,739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811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Оказание услуг общественного питания с   продажей вино - водочных изделий, пива (площадь зала более 70 кв.м. до 150 кв.м. включительно)                 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0,638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835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Оказание услуг общественного питания без продажи вино - водочных изделий, пива (площадь зала обслуживания посетителей которого составляет не более 70 кв.м.), если объем реализации продукции местного производства в общем объеме товарооборота соответствующей продукции за налоговый период составляет по молочной продукции- не менее 90%, по хлебной продукции- не менее 90%, по мясу, колбасным изделиям и мясным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/фабрикатам- не менее 20% по каждому месту осуществления деятельности.                 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0,317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835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Оказание услуг общественного питания без продажи вино - водочных изделий, пива (площадь зала обслуживания посетителей не более 70 кв.м.)                 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0,317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850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Оказание услуг общественного питания без продажи вино - водочных изделий, пива (площадь зала обслуживания посетителей более 70 кв.м. до 150 кв.м. включительно)                 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0,273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850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Оказание услуг общественного питания без продажи вино - водочных изделий, пива (площадь зала обслуживания посетителей которого составляет более 70 кв.м.), если объем реализации продукции местного производства в общем объеме товарооборота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соответствующей продукции за налоговый период составляет по молочной продукции- не менее 90%, по хлебной продукции- не менее 90%, по мясу, колбасным изделиям и мясным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/фабрикатам- не менее 20% по каждому месту осуществления деятельности.                 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0,273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A46789" w:rsidTr="00A46789">
        <w:trPr>
          <w:trHeight w:val="797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Оказание услуг общественного питания осуществляемых в образовательных учреждениях (площадь зала обслуживания посетителей не более 70 кв.м.)                 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0,027</w:t>
            </w:r>
          </w:p>
        </w:tc>
      </w:tr>
      <w:tr w:rsidR="00A46789" w:rsidTr="00A46789">
        <w:trPr>
          <w:trHeight w:val="797"/>
        </w:trPr>
        <w:tc>
          <w:tcPr>
            <w:tcW w:w="64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Оказание услуг общественного питания осуществляемых в образовательных учреждениях (площадь зала обслуживания посетителей более 70 кв.м. До 150 кв.м. включительно)                 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0,021</w:t>
            </w:r>
          </w:p>
        </w:tc>
      </w:tr>
      <w:tr w:rsidR="00A46789" w:rsidTr="00A46789">
        <w:trPr>
          <w:trHeight w:val="797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9. Оказание услуг общественного питания, осуществляемых  через объекты организации общественного питания, не имеющие зала обслуживания посетителей </w:t>
            </w:r>
          </w:p>
        </w:tc>
      </w:tr>
      <w:tr w:rsidR="00A46789" w:rsidTr="00A46789">
        <w:trPr>
          <w:trHeight w:val="1020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Оказание услуг общественного питания, осуществляемых через объекты организации общественного питания, не имеющие зала обслуживания посетителей (киоски, палатки, торговые автоматы и др. аналогичные точки общественного питания.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0,384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0,191</w:t>
            </w:r>
          </w:p>
        </w:tc>
      </w:tr>
      <w:tr w:rsidR="00A46789" w:rsidTr="00A46789">
        <w:trPr>
          <w:trHeight w:val="395"/>
        </w:trPr>
        <w:tc>
          <w:tcPr>
            <w:tcW w:w="9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10.Распространение  наружной рекламы с использованием рекламных конструкций</w:t>
            </w:r>
          </w:p>
        </w:tc>
      </w:tr>
      <w:tr w:rsidR="00A46789" w:rsidTr="00A46789">
        <w:trPr>
          <w:trHeight w:val="1020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Распространение 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0,439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0,112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0,053</w:t>
            </w:r>
          </w:p>
        </w:tc>
      </w:tr>
      <w:tr w:rsidR="00A46789" w:rsidTr="00A46789">
        <w:trPr>
          <w:trHeight w:val="769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Распространение  наружной рекламы с автоматической сменой изображения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0,657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0,166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0,082</w:t>
            </w:r>
          </w:p>
        </w:tc>
      </w:tr>
      <w:tr w:rsidR="00A46789" w:rsidTr="00A46789">
        <w:trPr>
          <w:trHeight w:val="680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Распространение  наружной рекламы посредством электронных табло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0,876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0,219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0,110</w:t>
            </w:r>
          </w:p>
        </w:tc>
      </w:tr>
      <w:tr w:rsidR="00A46789" w:rsidTr="00A46789">
        <w:trPr>
          <w:trHeight w:val="1020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Распространение  социальной рекламы на возмездной основе, осуществляемое за плату на основании договора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0,439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0,112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0,053</w:t>
            </w:r>
          </w:p>
        </w:tc>
      </w:tr>
      <w:tr w:rsidR="00A46789" w:rsidTr="00A46789">
        <w:trPr>
          <w:trHeight w:val="338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11.Размещение рекламы на транспортных средствах</w:t>
            </w:r>
          </w:p>
        </w:tc>
        <w:tc>
          <w:tcPr>
            <w:tcW w:w="35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6789" w:rsidTr="00A46789">
        <w:trPr>
          <w:trHeight w:val="338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Размещение наружной рекламы на любых видах транспортных средств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0,439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0,112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0,053</w:t>
            </w:r>
          </w:p>
        </w:tc>
      </w:tr>
      <w:tr w:rsidR="00A46789" w:rsidTr="00A46789">
        <w:trPr>
          <w:trHeight w:val="338"/>
        </w:trPr>
        <w:tc>
          <w:tcPr>
            <w:tcW w:w="9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 помещений для временного размещения и проживания не более 500 квадратных метров</w:t>
            </w:r>
          </w:p>
        </w:tc>
      </w:tr>
      <w:tr w:rsidR="00A46789" w:rsidTr="00A46789">
        <w:trPr>
          <w:trHeight w:val="338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временному размещению и проживанию (кроме размещения в комнатах длительных свиданий)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0,657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0,218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0,112</w:t>
            </w:r>
          </w:p>
        </w:tc>
      </w:tr>
      <w:tr w:rsidR="00A46789" w:rsidTr="00A46789">
        <w:trPr>
          <w:trHeight w:val="338"/>
        </w:trPr>
        <w:tc>
          <w:tcPr>
            <w:tcW w:w="9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A46789" w:rsidTr="00A46789">
        <w:trPr>
          <w:trHeight w:val="338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 не имеющих торговых залов, объектов нестационарной торговой сети(прилавков, палаток, ларьков, контейнеров, боксов и других объектов) , а также объектов организации общественного питания, не имеющих залов обслуживания посетителей, в которых площадь одного торгового </w:t>
            </w:r>
            <w:r>
              <w:rPr>
                <w:rFonts w:ascii="Times New Roman" w:hAnsi="Times New Roman"/>
                <w:color w:val="000000"/>
              </w:rPr>
              <w:lastRenderedPageBreak/>
              <w:t>места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0,378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0,121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0,062</w:t>
            </w:r>
          </w:p>
        </w:tc>
      </w:tr>
      <w:tr w:rsidR="00A46789" w:rsidTr="00A46789">
        <w:trPr>
          <w:trHeight w:val="338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0,352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0,112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0,053</w:t>
            </w:r>
          </w:p>
        </w:tc>
      </w:tr>
      <w:tr w:rsidR="00A46789" w:rsidTr="00A46789">
        <w:trPr>
          <w:trHeight w:val="338"/>
        </w:trPr>
        <w:tc>
          <w:tcPr>
            <w:tcW w:w="9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A46789" w:rsidTr="00A46789">
        <w:trPr>
          <w:trHeight w:val="338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0,345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0,121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0,062</w:t>
            </w:r>
          </w:p>
        </w:tc>
      </w:tr>
      <w:tr w:rsidR="00A46789" w:rsidTr="00A46789">
        <w:trPr>
          <w:trHeight w:val="338"/>
        </w:trPr>
        <w:tc>
          <w:tcPr>
            <w:tcW w:w="6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 превышает 10 квадратных метров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0,232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0,112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0,053</w:t>
            </w:r>
          </w:p>
        </w:tc>
      </w:tr>
      <w:tr w:rsidR="00A46789" w:rsidTr="00A46789">
        <w:trPr>
          <w:trHeight w:val="314"/>
        </w:trPr>
        <w:tc>
          <w:tcPr>
            <w:tcW w:w="9990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Группа 1: </w:t>
            </w:r>
            <w:r>
              <w:rPr>
                <w:rFonts w:ascii="Times New Roman" w:hAnsi="Times New Roman"/>
                <w:color w:val="000000"/>
              </w:rPr>
              <w:t>Объекты расположенные вдоль автомобильных дорог вне населенных пунктов</w:t>
            </w:r>
          </w:p>
        </w:tc>
      </w:tr>
      <w:tr w:rsidR="00A46789" w:rsidTr="00A46789">
        <w:trPr>
          <w:trHeight w:val="1558"/>
        </w:trPr>
        <w:tc>
          <w:tcPr>
            <w:tcW w:w="9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Группа 2: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с.Азаровка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с.Демьянки,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с.Алейниково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с.Ломаковка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с.Воронок, с.Лужки,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с.Дохновичи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д.Случок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с.Елионка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с.Солова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п.Красный, с.Запольские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Халеевичи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с.Селище, д.Камень, д.Крюков,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с.Логоватое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с.Чубковичи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с.Картушин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п.Десятуха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с.Левенка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с.Пантусов,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с.Курковичи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с.Меленск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с.Мишковка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с.Дареевичи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с.Остроглядово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с.Шкрябино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с.Нижнее, с.Новое Село, с.Понуровка,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с.Пятовск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с.Гарцево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с.Коваленво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с.Михайловск, с.Пролетарск,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с.Тарасовка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с.Мохоновка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с.Новомлынка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с.Друговщина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с.Ильбово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с.Пестриково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с.Решетки,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с.Осколково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с.Покослово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с.Меженики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с.Степок,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с.Гриденки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п.Жеча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</w:t>
            </w:r>
          </w:p>
        </w:tc>
      </w:tr>
      <w:tr w:rsidR="00A46789" w:rsidTr="00A46789">
        <w:trPr>
          <w:trHeight w:val="338"/>
        </w:trPr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Группа 3:</w:t>
            </w:r>
            <w:r>
              <w:rPr>
                <w:rFonts w:ascii="Times New Roman" w:hAnsi="Times New Roman"/>
                <w:color w:val="000000"/>
              </w:rPr>
              <w:t xml:space="preserve"> Прочие населенные пункты района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6789" w:rsidRDefault="00A4678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6789" w:rsidRDefault="00A46789" w:rsidP="00A46789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A46789" w:rsidRDefault="00A46789" w:rsidP="00A46789">
      <w:pPr>
        <w:spacing w:after="0" w:line="240" w:lineRule="atLeast"/>
        <w:rPr>
          <w:rFonts w:ascii="Times New Roman" w:hAnsi="Times New Roman"/>
          <w:b/>
          <w:bCs/>
        </w:rPr>
      </w:pPr>
    </w:p>
    <w:p w:rsidR="00A46789" w:rsidRDefault="00A46789" w:rsidP="00A46789">
      <w:pPr>
        <w:spacing w:after="0" w:line="240" w:lineRule="atLeast"/>
        <w:rPr>
          <w:rFonts w:ascii="Times New Roman" w:hAnsi="Times New Roman"/>
          <w:b/>
          <w:bCs/>
        </w:rPr>
      </w:pPr>
    </w:p>
    <w:p w:rsidR="00A46789" w:rsidRDefault="00A46789" w:rsidP="00A46789">
      <w:pPr>
        <w:spacing w:after="0" w:line="240" w:lineRule="atLeast"/>
        <w:rPr>
          <w:rFonts w:ascii="Times New Roman" w:hAnsi="Times New Roman"/>
          <w:b/>
          <w:bCs/>
        </w:rPr>
      </w:pPr>
    </w:p>
    <w:p w:rsidR="0055471F" w:rsidRDefault="0055471F"/>
    <w:sectPr w:rsidR="0055471F" w:rsidSect="0059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2D7"/>
    <w:multiLevelType w:val="hybridMultilevel"/>
    <w:tmpl w:val="0954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34B4"/>
    <w:rsid w:val="00377CA6"/>
    <w:rsid w:val="0055471F"/>
    <w:rsid w:val="005978B9"/>
    <w:rsid w:val="00A46789"/>
    <w:rsid w:val="00AC3310"/>
    <w:rsid w:val="00E3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B9"/>
  </w:style>
  <w:style w:type="paragraph" w:styleId="1">
    <w:name w:val="heading 1"/>
    <w:basedOn w:val="a"/>
    <w:next w:val="a"/>
    <w:link w:val="10"/>
    <w:qFormat/>
    <w:rsid w:val="00E334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4B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2755</Words>
  <Characters>15707</Characters>
  <Application>Microsoft Office Word</Application>
  <DocSecurity>0</DocSecurity>
  <Lines>130</Lines>
  <Paragraphs>36</Paragraphs>
  <ScaleCrop>false</ScaleCrop>
  <Company>Microsoft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2018-10-24T09:43:00Z</dcterms:created>
  <dcterms:modified xsi:type="dcterms:W3CDTF">2018-10-31T11:33:00Z</dcterms:modified>
</cp:coreProperties>
</file>