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EB" w:rsidRPr="00DF041C" w:rsidRDefault="002544EB" w:rsidP="002544E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F041C">
        <w:rPr>
          <w:rFonts w:ascii="Times New Roman" w:hAnsi="Times New Roman" w:cs="Times New Roman"/>
          <w:b/>
          <w:bCs/>
          <w:sz w:val="24"/>
        </w:rPr>
        <w:t>Об особенностях оплаты труда в выходные и нерабочие праздничные дни</w:t>
      </w:r>
    </w:p>
    <w:p w:rsidR="002544EB" w:rsidRPr="00DF041C" w:rsidRDefault="002544EB" w:rsidP="0025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Оплата труда в выходные и нерабочие праздничные дни регламентируется положениями ст. 153 Трудового кодекса Российской Федерации.</w:t>
      </w:r>
    </w:p>
    <w:p w:rsidR="002544EB" w:rsidRPr="00DF041C" w:rsidRDefault="002544EB" w:rsidP="0025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В данной статье указано, что работа в выходной или нерабочий праздничный день оплачивается не менее чем в двойном размере в следующем порядке: сдельщикам - не менее чем по двойным сдельным расценкам; работникам, труд которых оплачивается по дневным и часовым тарифным ставкам, в размере не менее двойной дневной или часовой тарифной ставки; 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2544EB" w:rsidRPr="00DF041C" w:rsidRDefault="002544EB" w:rsidP="0025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544EB" w:rsidRPr="00DF041C" w:rsidRDefault="002544EB" w:rsidP="00254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831C1A" w:rsidRDefault="002544EB" w:rsidP="002544EB">
      <w:pPr>
        <w:rPr>
          <w:rFonts w:ascii="Times New Roman" w:hAnsi="Times New Roman" w:cs="Times New Roman"/>
          <w:sz w:val="24"/>
        </w:rPr>
      </w:pPr>
      <w:r w:rsidRPr="00DF041C">
        <w:rPr>
          <w:rFonts w:ascii="Times New Roman" w:hAnsi="Times New Roman" w:cs="Times New Roman"/>
          <w:sz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5642F" w:rsidRDefault="00B5642F" w:rsidP="002544EB"/>
    <w:p w:rsidR="00B5642F" w:rsidRPr="00367C32" w:rsidRDefault="00B5642F" w:rsidP="00B5642F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B5642F" w:rsidRPr="00367C32" w:rsidRDefault="00B5642F" w:rsidP="00B5642F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p w:rsidR="00B5642F" w:rsidRDefault="00B5642F" w:rsidP="002544EB">
      <w:bookmarkStart w:id="2" w:name="_GoBack"/>
      <w:bookmarkEnd w:id="0"/>
      <w:bookmarkEnd w:id="2"/>
    </w:p>
    <w:sectPr w:rsidR="00B5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F9"/>
    <w:rsid w:val="002544EB"/>
    <w:rsid w:val="00831C1A"/>
    <w:rsid w:val="00A86DF9"/>
    <w:rsid w:val="00B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F1F6"/>
  <w15:chartTrackingRefBased/>
  <w15:docId w15:val="{D90621FB-9BBF-4E8E-B3D6-2C265D1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2023-07-01T09:23:00Z</dcterms:created>
  <dcterms:modified xsi:type="dcterms:W3CDTF">2023-07-01T11:54:00Z</dcterms:modified>
</cp:coreProperties>
</file>